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47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36"/>
          <w:sz w:val="44"/>
          <w:szCs w:val="44"/>
        </w:rPr>
        <w:t>2014~2015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年度桐乡市建筑业诚信</w:t>
      </w:r>
    </w:p>
    <w:p>
      <w:pPr>
        <w:spacing w:line="520" w:lineRule="exact"/>
        <w:ind w:right="-147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企业年审名单</w:t>
      </w:r>
    </w:p>
    <w:p>
      <w:pPr>
        <w:spacing w:line="520" w:lineRule="exact"/>
        <w:ind w:right="-147"/>
        <w:jc w:val="center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（排名不分先后）</w:t>
      </w:r>
    </w:p>
    <w:p>
      <w:pPr>
        <w:spacing w:line="520" w:lineRule="exact"/>
        <w:ind w:right="-147"/>
        <w:rPr>
          <w:rFonts w:hint="eastAsia" w:hAnsi="宋体" w:cs="宋体"/>
          <w:color w:val="000000"/>
          <w:kern w:val="0"/>
        </w:rPr>
      </w:pP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巨匠建设集团股份有限公司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浙江新厦建设有限公司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浙江同安建设有限公司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亚都建设集团有限公司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振业建设集团有限公司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恒基建设集团有限公司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浙江立信建设发展有限公司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浙江崇德建设有限公司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浙江巨鑫建设有限公司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浙江恒</w:t>
      </w:r>
      <w:r>
        <w:rPr>
          <w:rFonts w:hint="eastAsia" w:ascii="宋体" w:hAnsi="宋体" w:eastAsia="宋体" w:cs="宋体"/>
          <w:color w:val="000000"/>
          <w:kern w:val="0"/>
        </w:rPr>
        <w:t>昇</w:t>
      </w:r>
      <w:r>
        <w:rPr>
          <w:rFonts w:hint="eastAsia" w:hAnsi="宋体" w:cs="宋体"/>
          <w:color w:val="000000"/>
          <w:kern w:val="0"/>
        </w:rPr>
        <w:t>装饰工程有限公司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浙江巨匠市政园林绿化工程有限公司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桐乡市东兴市政工程有限责任公司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浙江宝森建设有限公司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桐乡市荣城建筑有限公司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浙江巨匠建筑幕墙安装工程有限公司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桐乡市乌镇内俐仿古园林建设有限公司</w:t>
      </w:r>
    </w:p>
    <w:p>
      <w:pPr>
        <w:spacing w:line="520" w:lineRule="exact"/>
        <w:ind w:right="-147" w:firstLine="640" w:firstLineChars="200"/>
        <w:rPr>
          <w:rFonts w:hint="eastAsia"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嘉兴新宇装饰工程有限公司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2BEC"/>
    <w:rsid w:val="68F72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ymbol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2016-04-13T01:28:00Z</dcterms:created>
  <dc:creator>Administrator</dc:creator>
  <cp:lastModifiedBy>Administrator</cp:lastModifiedBy>
  <dcterms:modified xsi:type="dcterms:W3CDTF">2016-04-13T01:29:15Z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