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z w:val="44"/>
          <w:szCs w:val="36"/>
        </w:rPr>
      </w:pPr>
      <w:bookmarkStart w:id="4" w:name="_GoBack"/>
      <w:bookmarkStart w:id="0" w:name="OLE_LINK2"/>
      <w:bookmarkStart w:id="1" w:name="OLE_LINK1"/>
      <w:r>
        <w:rPr>
          <w:rFonts w:hint="eastAsia" w:ascii="方正小标宋简体" w:eastAsia="方正小标宋简体"/>
          <w:sz w:val="44"/>
          <w:szCs w:val="36"/>
        </w:rPr>
        <w:t>桐乡市“平安工地”创建活动实施方案</w:t>
      </w:r>
      <w:bookmarkEnd w:id="0"/>
      <w:bookmarkEnd w:id="1"/>
    </w:p>
    <w:bookmarkEnd w:id="4"/>
    <w:p>
      <w:pPr>
        <w:spacing w:line="520" w:lineRule="exact"/>
        <w:ind w:firstLine="640" w:firstLineChars="200"/>
        <w:rPr>
          <w:rFonts w:hint="eastAsia"/>
        </w:rPr>
      </w:pPr>
    </w:p>
    <w:p>
      <w:pPr>
        <w:spacing w:line="560" w:lineRule="exact"/>
        <w:ind w:firstLine="640" w:firstLineChars="200"/>
        <w:rPr>
          <w:rFonts w:hint="eastAsia"/>
        </w:rPr>
      </w:pPr>
      <w:r>
        <w:rPr>
          <w:rFonts w:hint="eastAsia"/>
        </w:rPr>
        <w:t>为进一步深化“平安桐乡”创建活动，加强和促进建筑施工社会治安、安全生产和文明施工管理，确保一方平安和社会稳定，平安护航世界互联网大会·乌镇峰会的顺利召开，</w:t>
      </w:r>
      <w:bookmarkStart w:id="2" w:name="OLE_LINK3"/>
      <w:bookmarkStart w:id="3" w:name="OLE_LINK4"/>
      <w:r>
        <w:rPr>
          <w:rFonts w:hint="eastAsia"/>
        </w:rPr>
        <w:t>成功实现“平安桐乡”十二连冠后，为打造更高水平“平安桐乡”的良好局</w:t>
      </w:r>
      <w:bookmarkEnd w:id="2"/>
      <w:bookmarkEnd w:id="3"/>
      <w:r>
        <w:rPr>
          <w:rFonts w:hint="eastAsia"/>
        </w:rPr>
        <w:t>面。根据</w:t>
      </w:r>
      <w:r>
        <w:rPr>
          <w:rFonts w:hint="eastAsia"/>
          <w:color w:val="000000"/>
        </w:rPr>
        <w:t>《关于在全市开展乌镇峰会维稳安保平战结合系统平安创建大行动的实施方案》（桐平安〔2017〕4号）的</w:t>
      </w:r>
      <w:r>
        <w:rPr>
          <w:rFonts w:hint="eastAsia"/>
        </w:rPr>
        <w:t>要求，决定在全市建筑工地开展“平安工地”创建活动，特制定本方案。</w:t>
      </w:r>
    </w:p>
    <w:p>
      <w:pPr>
        <w:spacing w:line="560" w:lineRule="exact"/>
        <w:ind w:firstLine="640" w:firstLineChars="200"/>
        <w:rPr>
          <w:rFonts w:hint="eastAsia" w:ascii="黑体" w:hAnsi="黑体" w:eastAsia="黑体"/>
        </w:rPr>
      </w:pPr>
      <w:r>
        <w:rPr>
          <w:rFonts w:hint="eastAsia" w:ascii="黑体" w:hAnsi="黑体" w:eastAsia="黑体"/>
        </w:rPr>
        <w:t>一、指导思想</w:t>
      </w:r>
    </w:p>
    <w:p>
      <w:pPr>
        <w:spacing w:line="560" w:lineRule="exact"/>
        <w:ind w:firstLine="640" w:firstLineChars="200"/>
        <w:rPr>
          <w:rFonts w:hint="eastAsia"/>
        </w:rPr>
      </w:pPr>
      <w:r>
        <w:rPr>
          <w:rFonts w:hint="eastAsia"/>
        </w:rPr>
        <w:t>以深入贯彻落实党的十八大和十八届六中全会精神以及上级政府部门组织开展系统平安创建活动目标任务，把握“稳中求进、转中求好”工作主基调，深入实施“安康家园”行动计划，深化“法治、德治、自治”建设，以成功实现“平安桐乡”十二连冠后打造更高水平“平安桐乡”的良好局面为抓手，在市委、市府的统一领导下，以创建“平安工地”为载体，进一步推进城市建设，维护社会稳定，努力创造安全、和谐的建筑施工环境，落实建筑工地各项管理制度和综合治理防范措施，不断扩大创建文明工地的成果，确保建筑工地的平安和谐，助推平安桐乡建设朝着基础更牢、水平更高、人民群众更加满意的目标迈进。</w:t>
      </w:r>
    </w:p>
    <w:p>
      <w:pPr>
        <w:spacing w:line="560" w:lineRule="exact"/>
        <w:ind w:firstLine="640" w:firstLineChars="200"/>
        <w:rPr>
          <w:rFonts w:hint="eastAsia" w:ascii="黑体" w:hAnsi="黑体" w:eastAsia="黑体"/>
        </w:rPr>
      </w:pPr>
      <w:r>
        <w:rPr>
          <w:rFonts w:hint="eastAsia" w:ascii="黑体" w:hAnsi="黑体" w:eastAsia="黑体"/>
        </w:rPr>
        <w:t>二、工作目标</w:t>
      </w:r>
    </w:p>
    <w:p>
      <w:pPr>
        <w:spacing w:line="560" w:lineRule="exact"/>
        <w:ind w:firstLine="640" w:firstLineChars="200"/>
        <w:rPr>
          <w:rFonts w:hint="eastAsia"/>
        </w:rPr>
      </w:pPr>
      <w:r>
        <w:rPr>
          <w:rFonts w:hint="eastAsia"/>
        </w:rPr>
        <w:t>深入贯彻落实省、嘉兴平安建设工作会议精神，集中力量解决影响平安建设的突出问题和薄弱环节，打造成功实现“平安桐乡”十二连冠后取得更高水平“平安桐乡”的良好局面。通过“平安工地”创建活动，认真履行政府部门行政职能，建立健全平安创建工作标准和考核体系，落实“平安工地”建设责任制，明确责任单位和责任人。确保全市施工现场不发生重大恶性案件、重大安全责任事故和影响社会稳定的群体性事件。并为世界互联网大会·乌镇峰会的顺利召开保驾护航。</w:t>
      </w:r>
    </w:p>
    <w:p>
      <w:pPr>
        <w:spacing w:line="560" w:lineRule="exact"/>
        <w:ind w:firstLine="640" w:firstLineChars="200"/>
        <w:rPr>
          <w:rFonts w:hint="eastAsia" w:ascii="黑体" w:hAnsi="黑体" w:eastAsia="黑体"/>
        </w:rPr>
      </w:pPr>
      <w:r>
        <w:rPr>
          <w:rFonts w:hint="eastAsia" w:ascii="黑体" w:hAnsi="黑体" w:eastAsia="黑体"/>
        </w:rPr>
        <w:t>三、组织领导</w:t>
      </w:r>
    </w:p>
    <w:p>
      <w:pPr>
        <w:spacing w:line="560" w:lineRule="exact"/>
        <w:ind w:firstLine="640" w:firstLineChars="200"/>
        <w:rPr>
          <w:rFonts w:hint="eastAsia"/>
        </w:rPr>
      </w:pPr>
      <w:r>
        <w:rPr>
          <w:rFonts w:hint="eastAsia"/>
        </w:rPr>
        <w:t>为开展好本次创建活动，决定成立“桐乡市建设系统平安工地创建工作领导小组”，成员由各相关职能处室负责人组成，领导小组下设办公室，办公室设在市建设工程质量安全监督站，负责创建工作的整体推进、日常协调工作，组织督查、指导和考核。</w:t>
      </w:r>
    </w:p>
    <w:p>
      <w:pPr>
        <w:spacing w:line="560" w:lineRule="exact"/>
        <w:ind w:firstLine="640" w:firstLineChars="200"/>
        <w:rPr>
          <w:rFonts w:hint="eastAsia"/>
        </w:rPr>
      </w:pPr>
      <w:r>
        <w:rPr>
          <w:rFonts w:hint="eastAsia"/>
        </w:rPr>
        <w:t>各建筑企业应根据活动要求，结合企业实际设立活动实施机构，负责本企业“平安工地” 创建活动的开展实施。</w:t>
      </w:r>
    </w:p>
    <w:p>
      <w:pPr>
        <w:spacing w:line="560" w:lineRule="exact"/>
        <w:ind w:firstLine="640" w:firstLineChars="200"/>
        <w:rPr>
          <w:rFonts w:hint="eastAsia" w:ascii="黑体" w:hAnsi="黑体" w:eastAsia="黑体"/>
        </w:rPr>
      </w:pPr>
      <w:r>
        <w:rPr>
          <w:rFonts w:hint="eastAsia" w:ascii="黑体" w:hAnsi="黑体" w:eastAsia="黑体"/>
        </w:rPr>
        <w:t>四、创建实施</w:t>
      </w:r>
    </w:p>
    <w:p>
      <w:pPr>
        <w:spacing w:line="560" w:lineRule="exact"/>
        <w:ind w:firstLine="640" w:firstLineChars="200"/>
        <w:rPr>
          <w:rFonts w:hint="eastAsia"/>
        </w:rPr>
      </w:pPr>
      <w:r>
        <w:rPr>
          <w:rFonts w:hint="eastAsia" w:ascii="楷体_GB2312" w:eastAsia="楷体_GB2312"/>
        </w:rPr>
        <w:t>（一）创建对象。</w:t>
      </w:r>
      <w:r>
        <w:rPr>
          <w:rFonts w:hint="eastAsia"/>
        </w:rPr>
        <w:t>凡申领施工许可证的，建筑面积在3000平方米以上或造价200万以上的建筑工地，均需开展“平安工地”的创建活动。创建工作以一个自然年为周期。</w:t>
      </w:r>
    </w:p>
    <w:p>
      <w:pPr>
        <w:spacing w:line="560" w:lineRule="exact"/>
        <w:ind w:firstLine="640" w:firstLineChars="200"/>
        <w:rPr>
          <w:rFonts w:hint="eastAsia"/>
        </w:rPr>
      </w:pPr>
      <w:r>
        <w:rPr>
          <w:rFonts w:hint="eastAsia" w:ascii="楷体_GB2312" w:eastAsia="楷体_GB2312"/>
        </w:rPr>
        <w:t>（二）活动实施。</w:t>
      </w:r>
      <w:r>
        <w:rPr>
          <w:rFonts w:hint="eastAsia"/>
        </w:rPr>
        <w:t>对符合创建要求的工地，在办理施工许可时发放印有“平安工地创建项目”的创建牌。工程开工后，创建牌必须悬挂在工地入口处。同时，企业应当建立“平安工地”管理台帐，定期对工地创建情况进行自查自评，每个工地自查不少于3次。在创建过程中，领导小组将不定期组织专人对创建工程进行抽查。</w:t>
      </w:r>
    </w:p>
    <w:p>
      <w:pPr>
        <w:spacing w:line="560" w:lineRule="exact"/>
        <w:ind w:firstLine="640" w:firstLineChars="200"/>
        <w:rPr>
          <w:rFonts w:hint="eastAsia"/>
        </w:rPr>
      </w:pPr>
      <w:r>
        <w:rPr>
          <w:rFonts w:hint="eastAsia" w:ascii="楷体_GB2312" w:eastAsia="楷体_GB2312"/>
        </w:rPr>
        <w:t>（三）考核评比。</w:t>
      </w:r>
      <w:r>
        <w:rPr>
          <w:rFonts w:hint="eastAsia"/>
        </w:rPr>
        <w:t>考核采用企业自评和部门抽查评分相结合的形式。考核得分在85分以上的工地，可评为“平安工地”。企业年度获得“平安工地”超过10项的，可参评“平安建筑企业”。</w:t>
      </w:r>
    </w:p>
    <w:p>
      <w:pPr>
        <w:spacing w:line="560" w:lineRule="exact"/>
        <w:ind w:firstLine="640" w:firstLineChars="200"/>
        <w:rPr>
          <w:rFonts w:hint="eastAsia"/>
        </w:rPr>
      </w:pPr>
      <w:r>
        <w:rPr>
          <w:rFonts w:hint="eastAsia"/>
        </w:rPr>
        <w:t>“平安工地”根据工程竣工备案情况，按年度进行考评，并由建设局进行表彰；每年年终由市平安办和</w:t>
      </w:r>
      <w:r>
        <w:rPr>
          <w:rFonts w:hint="eastAsia"/>
          <w:color w:val="000000"/>
        </w:rPr>
        <w:t>建设局</w:t>
      </w:r>
      <w:r>
        <w:rPr>
          <w:rFonts w:hint="eastAsia"/>
        </w:rPr>
        <w:t>共同对“平安建筑企业”进行表彰。</w:t>
      </w:r>
    </w:p>
    <w:p>
      <w:pPr>
        <w:spacing w:line="560" w:lineRule="exact"/>
        <w:ind w:firstLine="640" w:firstLineChars="200"/>
        <w:rPr>
          <w:rFonts w:hint="eastAsia" w:ascii="黑体" w:hAnsi="黑体" w:eastAsia="黑体"/>
        </w:rPr>
      </w:pPr>
      <w:r>
        <w:rPr>
          <w:rFonts w:hint="eastAsia" w:ascii="黑体" w:hAnsi="黑体" w:eastAsia="黑体"/>
        </w:rPr>
        <w:t>五、活动要求</w:t>
      </w:r>
    </w:p>
    <w:p>
      <w:pPr>
        <w:spacing w:line="560" w:lineRule="exact"/>
        <w:ind w:firstLine="640" w:firstLineChars="200"/>
        <w:rPr>
          <w:rFonts w:hint="eastAsia"/>
        </w:rPr>
      </w:pPr>
      <w:r>
        <w:rPr>
          <w:rFonts w:hint="eastAsia" w:ascii="楷体_GB2312" w:eastAsia="楷体_GB2312"/>
        </w:rPr>
        <w:t>（一）切实加强领导，认真落实创建“平安工地”活动的各项要求。</w:t>
      </w:r>
      <w:r>
        <w:rPr>
          <w:rFonts w:hint="eastAsia"/>
        </w:rPr>
        <w:t>各施工单位要高度重视，积极组织实施创建“平安工地”活动，把创建“平安工地”活动的各项要求落实到实处，并纳入日常工作中去，有部署、有督促、有检查、务求落实。各建筑施工企业、项目部都要下大力气把创建“平安工地”活动做细做实，做出成效。要与文明标化工地创建活动有机结合起来，努力提高建筑工地整体文明水平。</w:t>
      </w:r>
    </w:p>
    <w:p>
      <w:pPr>
        <w:spacing w:line="560" w:lineRule="exact"/>
        <w:ind w:firstLine="640" w:firstLineChars="200"/>
        <w:rPr>
          <w:rFonts w:hint="eastAsia"/>
        </w:rPr>
      </w:pPr>
      <w:r>
        <w:rPr>
          <w:rFonts w:hint="eastAsia" w:ascii="楷体_GB2312" w:eastAsia="楷体_GB2312"/>
        </w:rPr>
        <w:t>（二）统一思想，增强开展创建活动的自觉性和责任感。</w:t>
      </w:r>
      <w:r>
        <w:rPr>
          <w:rFonts w:hint="eastAsia"/>
        </w:rPr>
        <w:t>在建筑工地张贴宣传横幅、开辟宣传专栏，深入开展“平安工地”创建宣传活动。充分利用民工学校的有利条件，开展法制宣传教育，增强农民工的法律意识和质量安全意识。工地项目经理要将活动要求分解落实到项目部班组。通过一系列宣传教育，把认识统一到市委、市政府的部署上来，统一到维护桐乡稳定大局上来，统一到提升城市形象，增强城市竞争力上来。通过层层发动，上下联动，使建筑工地逐步形成浓厚的创建氛围。</w:t>
      </w:r>
    </w:p>
    <w:p>
      <w:pPr>
        <w:spacing w:line="560" w:lineRule="exact"/>
        <w:ind w:firstLine="640" w:firstLineChars="200"/>
        <w:rPr>
          <w:rFonts w:hint="eastAsia"/>
        </w:rPr>
      </w:pPr>
      <w:r>
        <w:rPr>
          <w:rFonts w:hint="eastAsia" w:ascii="楷体_GB2312" w:eastAsia="楷体_GB2312"/>
        </w:rPr>
        <w:t>（三）明确工作任务，建立健全创建活动的责任体系。</w:t>
      </w:r>
      <w:r>
        <w:rPr>
          <w:rFonts w:hint="eastAsia"/>
        </w:rPr>
        <w:t>各建筑施工企业要切实对本公司承建的建筑工地社会治安负责，把创建“平安工地”工作落实到各项目部，明确责任人，实行一级抓一级，一级对一级负责的责任制，在工地开工前，要明确创建“平安工地”的目标，建立起责任管理网络和各项规章制度。工地项目经理要全面负责本工程平安工地的创建工作，加强本工程现场安全生产和文明施工各项责任和制度的落实。认真执行《中华人民共和国安全生产法》的有关规定，配备安全生产管理机构、配齐专职安全生产管理人员。</w:t>
      </w:r>
    </w:p>
    <w:p>
      <w:pPr>
        <w:spacing w:line="560" w:lineRule="exact"/>
        <w:ind w:firstLine="640" w:firstLineChars="200"/>
        <w:rPr>
          <w:rFonts w:hint="eastAsia"/>
        </w:rPr>
      </w:pPr>
      <w:r>
        <w:rPr>
          <w:rFonts w:hint="eastAsia" w:ascii="楷体_GB2312" w:eastAsia="楷体_GB2312"/>
        </w:rPr>
        <w:t>（四）加强检查考核，努力提高创建活动的实效。</w:t>
      </w:r>
      <w:r>
        <w:rPr>
          <w:rFonts w:hint="eastAsia"/>
        </w:rPr>
        <w:t>领导小组将成立督查组，负责创建“平安工地”活动的指导、督促、检查。按各工地施工各阶段的具体情况，结合文明工地创建活动，根据《桐乡市建设工程“平安工地”考核标准》，组织有针对性的综合检查。对发现的问题，将在桐乡市建设工程“平安工地”评比中给予相应的扣分，对发生以下四种情况的，将在桐乡市建设工程“平安工地”评比中实行一票否决，一是发生因维稳工作不力或拖欠民工工资而引起的群体上访等不稳定事件；二是发生重大的或有一定影响的刑事、治安案件；三是发生影响政治、经济、治安稳定的破坏事件；四是发生一般及以上安全生产等责任事故或火灾等重大治安灾害。</w:t>
      </w:r>
    </w:p>
    <w:p>
      <w:pPr>
        <w:spacing w:line="560" w:lineRule="exact"/>
        <w:ind w:firstLine="640" w:firstLineChars="200"/>
        <w:rPr>
          <w:rFonts w:hint="eastAsia"/>
          <w:color w:val="FF0000"/>
        </w:rPr>
      </w:pPr>
      <w:r>
        <w:rPr>
          <w:rFonts w:hint="eastAsia"/>
        </w:rPr>
        <w:t>在开展创建“平安工地”活动中，创建活动领导小组将对创建中好的做法、好的经验进行推广，全面提升创建活动的水平，为打造“平安桐乡”工作奠定坚实的基础。</w:t>
      </w:r>
    </w:p>
    <w:p>
      <w:pPr>
        <w:spacing w:line="560" w:lineRule="exact"/>
        <w:ind w:firstLine="200"/>
        <w:rPr>
          <w:rFonts w:hint="eastAsia"/>
        </w:rPr>
      </w:pPr>
    </w:p>
    <w:p>
      <w:pPr>
        <w:spacing w:line="560" w:lineRule="exact"/>
        <w:ind w:firstLine="640" w:firstLineChars="200"/>
        <w:rPr>
          <w:rFonts w:hint="eastAsia"/>
        </w:rPr>
      </w:pPr>
      <w:r>
        <w:rPr>
          <w:rFonts w:hint="eastAsia"/>
        </w:rPr>
        <w:t>附件：1.桐乡市建设工程“平安工地”考核标准</w:t>
      </w:r>
    </w:p>
    <w:p>
      <w:pPr>
        <w:spacing w:line="560" w:lineRule="exact"/>
        <w:ind w:firstLine="1600" w:firstLineChars="500"/>
        <w:rPr>
          <w:rFonts w:hint="eastAsia"/>
        </w:rPr>
      </w:pPr>
      <w:r>
        <w:rPr>
          <w:rFonts w:hint="eastAsia"/>
        </w:rPr>
        <w:t>2.桐乡市“平安建筑企业”考核标准</w:t>
      </w: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tabs>
          <w:tab w:val="left" w:pos="7560"/>
        </w:tabs>
        <w:autoSpaceDE w:val="0"/>
        <w:autoSpaceDN w:val="0"/>
        <w:adjustRightInd w:val="0"/>
        <w:spacing w:line="700" w:lineRule="exact"/>
        <w:jc w:val="left"/>
        <w:rPr>
          <w:rFonts w:hint="eastAsia"/>
          <w:spacing w:val="6"/>
        </w:rPr>
      </w:pPr>
    </w:p>
    <w:p>
      <w:pPr>
        <w:spacing w:line="520" w:lineRule="exact"/>
        <w:rPr>
          <w:rFonts w:hint="eastAsia" w:ascii="黑体" w:hAnsi="黑体" w:eastAsia="黑体"/>
        </w:rPr>
      </w:pPr>
      <w:r>
        <w:rPr>
          <w:rFonts w:hint="eastAsia" w:ascii="黑体" w:hAnsi="黑体" w:eastAsia="黑体"/>
        </w:rPr>
        <w:t xml:space="preserve">附件1 </w:t>
      </w:r>
    </w:p>
    <w:p>
      <w:pPr>
        <w:spacing w:line="520" w:lineRule="exact"/>
        <w:rPr>
          <w:rFonts w:hint="eastAsia" w:ascii="黑体" w:hAnsi="黑体" w:eastAsia="黑体"/>
        </w:rPr>
      </w:pP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桐乡市建设工程“平安工地”考核标准</w:t>
      </w:r>
    </w:p>
    <w:p>
      <w:pPr>
        <w:spacing w:line="520" w:lineRule="exact"/>
        <w:rPr>
          <w:rFonts w:hint="eastAsia"/>
          <w:sz w:val="24"/>
        </w:rPr>
      </w:pPr>
      <w:r>
        <w:rPr>
          <w:rFonts w:hint="eastAsia"/>
          <w:sz w:val="24"/>
        </w:rPr>
        <w:t xml:space="preserve">一、否决指标（不计分） </w:t>
      </w:r>
    </w:p>
    <w:tbl>
      <w:tblPr>
        <w:tblStyle w:val="5"/>
        <w:tblW w:w="9230" w:type="dxa"/>
        <w:jc w:val="center"/>
        <w:tblInd w:w="-302" w:type="dxa"/>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
      <w:tblGrid>
        <w:gridCol w:w="1337"/>
        <w:gridCol w:w="7893"/>
      </w:tblGrid>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454" w:hRule="exact"/>
          <w:jc w:val="center"/>
        </w:trPr>
        <w:tc>
          <w:tcPr>
            <w:tcW w:w="1337" w:type="dxa"/>
            <w:vAlign w:val="center"/>
          </w:tcPr>
          <w:p>
            <w:pPr>
              <w:spacing w:line="520" w:lineRule="exact"/>
              <w:jc w:val="center"/>
              <w:rPr>
                <w:rFonts w:hint="eastAsia"/>
                <w:sz w:val="24"/>
              </w:rPr>
            </w:pPr>
            <w:r>
              <w:rPr>
                <w:rFonts w:hint="eastAsia"/>
                <w:sz w:val="24"/>
              </w:rPr>
              <w:t>序 号</w:t>
            </w:r>
          </w:p>
        </w:tc>
        <w:tc>
          <w:tcPr>
            <w:tcW w:w="7893" w:type="dxa"/>
            <w:vAlign w:val="center"/>
          </w:tcPr>
          <w:p>
            <w:pPr>
              <w:spacing w:line="520" w:lineRule="exact"/>
              <w:jc w:val="center"/>
              <w:rPr>
                <w:rFonts w:hint="eastAsia"/>
                <w:sz w:val="24"/>
              </w:rPr>
            </w:pPr>
            <w:r>
              <w:rPr>
                <w:rFonts w:hint="eastAsia"/>
                <w:sz w:val="24"/>
              </w:rPr>
              <w:t>否 决 内 容</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454" w:hRule="exact"/>
          <w:jc w:val="center"/>
        </w:trPr>
        <w:tc>
          <w:tcPr>
            <w:tcW w:w="1337" w:type="dxa"/>
            <w:vAlign w:val="center"/>
          </w:tcPr>
          <w:p>
            <w:pPr>
              <w:spacing w:line="520" w:lineRule="exact"/>
              <w:jc w:val="center"/>
              <w:rPr>
                <w:rFonts w:hint="eastAsia"/>
                <w:sz w:val="24"/>
              </w:rPr>
            </w:pPr>
            <w:r>
              <w:rPr>
                <w:rFonts w:hint="eastAsia"/>
                <w:sz w:val="24"/>
              </w:rPr>
              <w:t>1</w:t>
            </w:r>
          </w:p>
        </w:tc>
        <w:tc>
          <w:tcPr>
            <w:tcW w:w="7893" w:type="dxa"/>
            <w:vAlign w:val="center"/>
          </w:tcPr>
          <w:p>
            <w:pPr>
              <w:spacing w:line="480" w:lineRule="exact"/>
              <w:rPr>
                <w:rFonts w:hint="eastAsia"/>
                <w:sz w:val="24"/>
              </w:rPr>
            </w:pPr>
            <w:r>
              <w:rPr>
                <w:rFonts w:hint="eastAsia"/>
                <w:sz w:val="24"/>
              </w:rPr>
              <w:t>发生因维稳工作不力或拖欠民工工资而引起的集访、闹访等不稳定事件</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454" w:hRule="exact"/>
          <w:jc w:val="center"/>
        </w:trPr>
        <w:tc>
          <w:tcPr>
            <w:tcW w:w="1337" w:type="dxa"/>
            <w:vAlign w:val="center"/>
          </w:tcPr>
          <w:p>
            <w:pPr>
              <w:spacing w:line="520" w:lineRule="exact"/>
              <w:jc w:val="center"/>
              <w:rPr>
                <w:rFonts w:hint="eastAsia"/>
                <w:sz w:val="24"/>
              </w:rPr>
            </w:pPr>
            <w:r>
              <w:rPr>
                <w:rFonts w:hint="eastAsia"/>
                <w:sz w:val="24"/>
              </w:rPr>
              <w:t>2</w:t>
            </w:r>
          </w:p>
        </w:tc>
        <w:tc>
          <w:tcPr>
            <w:tcW w:w="7893" w:type="dxa"/>
            <w:vAlign w:val="center"/>
          </w:tcPr>
          <w:p>
            <w:pPr>
              <w:spacing w:line="480" w:lineRule="exact"/>
              <w:rPr>
                <w:rFonts w:hint="eastAsia"/>
                <w:sz w:val="24"/>
              </w:rPr>
            </w:pPr>
            <w:r>
              <w:rPr>
                <w:rFonts w:hint="eastAsia"/>
                <w:sz w:val="24"/>
              </w:rPr>
              <w:t>发生重大的或有一定影响的刑事、治安案件</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454" w:hRule="exact"/>
          <w:jc w:val="center"/>
        </w:trPr>
        <w:tc>
          <w:tcPr>
            <w:tcW w:w="1337" w:type="dxa"/>
            <w:vAlign w:val="center"/>
          </w:tcPr>
          <w:p>
            <w:pPr>
              <w:spacing w:line="520" w:lineRule="exact"/>
              <w:jc w:val="center"/>
              <w:rPr>
                <w:rFonts w:hint="eastAsia"/>
                <w:sz w:val="24"/>
              </w:rPr>
            </w:pPr>
            <w:r>
              <w:rPr>
                <w:rFonts w:hint="eastAsia"/>
                <w:sz w:val="24"/>
              </w:rPr>
              <w:t>3</w:t>
            </w:r>
          </w:p>
        </w:tc>
        <w:tc>
          <w:tcPr>
            <w:tcW w:w="7893" w:type="dxa"/>
            <w:vAlign w:val="center"/>
          </w:tcPr>
          <w:p>
            <w:pPr>
              <w:spacing w:line="480" w:lineRule="exact"/>
              <w:rPr>
                <w:rFonts w:hint="eastAsia"/>
                <w:sz w:val="24"/>
              </w:rPr>
            </w:pPr>
            <w:r>
              <w:rPr>
                <w:rFonts w:hint="eastAsia"/>
                <w:sz w:val="24"/>
              </w:rPr>
              <w:t>发生影响政治、经济、治安稳定的破坏事件</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454" w:hRule="exact"/>
          <w:jc w:val="center"/>
        </w:trPr>
        <w:tc>
          <w:tcPr>
            <w:tcW w:w="1337" w:type="dxa"/>
            <w:vAlign w:val="center"/>
          </w:tcPr>
          <w:p>
            <w:pPr>
              <w:spacing w:line="520" w:lineRule="exact"/>
              <w:jc w:val="center"/>
              <w:rPr>
                <w:rFonts w:hint="eastAsia"/>
                <w:sz w:val="24"/>
              </w:rPr>
            </w:pPr>
            <w:r>
              <w:rPr>
                <w:rFonts w:hint="eastAsia"/>
                <w:sz w:val="24"/>
              </w:rPr>
              <w:t>4</w:t>
            </w:r>
          </w:p>
        </w:tc>
        <w:tc>
          <w:tcPr>
            <w:tcW w:w="7893" w:type="dxa"/>
            <w:vAlign w:val="center"/>
          </w:tcPr>
          <w:p>
            <w:pPr>
              <w:spacing w:line="480" w:lineRule="exact"/>
              <w:rPr>
                <w:rFonts w:hint="eastAsia"/>
                <w:sz w:val="24"/>
              </w:rPr>
            </w:pPr>
            <w:r>
              <w:rPr>
                <w:rFonts w:hint="eastAsia"/>
                <w:sz w:val="24"/>
              </w:rPr>
              <w:t>发生一般及以上安全生产、交通等责任事故和火灾等重大治安灾害事故</w:t>
            </w:r>
          </w:p>
        </w:tc>
      </w:tr>
    </w:tbl>
    <w:p>
      <w:pPr>
        <w:spacing w:line="520" w:lineRule="exact"/>
        <w:rPr>
          <w:rFonts w:hint="eastAsia"/>
          <w:sz w:val="24"/>
        </w:rPr>
      </w:pPr>
      <w:r>
        <w:rPr>
          <w:rFonts w:hint="eastAsia"/>
          <w:sz w:val="24"/>
        </w:rPr>
        <w:t>二、考核标准（100分）</w:t>
      </w:r>
    </w:p>
    <w:tbl>
      <w:tblPr>
        <w:tblStyle w:val="5"/>
        <w:tblW w:w="9243" w:type="dxa"/>
        <w:jc w:val="center"/>
        <w:tblInd w:w="-665" w:type="dxa"/>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
      <w:tblGrid>
        <w:gridCol w:w="812"/>
        <w:gridCol w:w="466"/>
        <w:gridCol w:w="4183"/>
        <w:gridCol w:w="481"/>
        <w:gridCol w:w="1129"/>
        <w:gridCol w:w="1072"/>
        <w:gridCol w:w="1100"/>
      </w:tblGrid>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498" w:hRule="atLeast"/>
          <w:jc w:val="center"/>
        </w:trPr>
        <w:tc>
          <w:tcPr>
            <w:tcW w:w="812" w:type="dxa"/>
            <w:vAlign w:val="center"/>
          </w:tcPr>
          <w:p>
            <w:pPr>
              <w:spacing w:line="520" w:lineRule="exact"/>
              <w:jc w:val="center"/>
              <w:rPr>
                <w:rFonts w:hint="eastAsia"/>
                <w:sz w:val="24"/>
              </w:rPr>
            </w:pPr>
            <w:r>
              <w:rPr>
                <w:rFonts w:hint="eastAsia"/>
                <w:sz w:val="24"/>
              </w:rPr>
              <w:t>类别</w:t>
            </w:r>
          </w:p>
        </w:tc>
        <w:tc>
          <w:tcPr>
            <w:tcW w:w="466" w:type="dxa"/>
            <w:vAlign w:val="center"/>
          </w:tcPr>
          <w:p>
            <w:pPr>
              <w:spacing w:line="520" w:lineRule="exact"/>
              <w:jc w:val="center"/>
              <w:rPr>
                <w:rFonts w:hint="eastAsia"/>
                <w:sz w:val="24"/>
              </w:rPr>
            </w:pPr>
            <w:r>
              <w:rPr>
                <w:rFonts w:hint="eastAsia"/>
                <w:sz w:val="24"/>
              </w:rPr>
              <w:t>序号</w:t>
            </w:r>
          </w:p>
        </w:tc>
        <w:tc>
          <w:tcPr>
            <w:tcW w:w="4183" w:type="dxa"/>
            <w:vAlign w:val="center"/>
          </w:tcPr>
          <w:p>
            <w:pPr>
              <w:spacing w:line="520" w:lineRule="exact"/>
              <w:jc w:val="center"/>
              <w:rPr>
                <w:rFonts w:hint="eastAsia"/>
                <w:sz w:val="24"/>
              </w:rPr>
            </w:pPr>
            <w:r>
              <w:rPr>
                <w:rFonts w:hint="eastAsia"/>
                <w:sz w:val="24"/>
              </w:rPr>
              <w:t>评分标准</w:t>
            </w:r>
          </w:p>
        </w:tc>
        <w:tc>
          <w:tcPr>
            <w:tcW w:w="481" w:type="dxa"/>
            <w:vAlign w:val="center"/>
          </w:tcPr>
          <w:p>
            <w:pPr>
              <w:spacing w:line="520" w:lineRule="exact"/>
              <w:jc w:val="center"/>
              <w:rPr>
                <w:rFonts w:hint="eastAsia"/>
                <w:sz w:val="24"/>
              </w:rPr>
            </w:pPr>
            <w:r>
              <w:rPr>
                <w:rFonts w:hint="eastAsia"/>
                <w:sz w:val="24"/>
              </w:rPr>
              <w:t>分值</w:t>
            </w:r>
          </w:p>
        </w:tc>
        <w:tc>
          <w:tcPr>
            <w:tcW w:w="1129" w:type="dxa"/>
            <w:vAlign w:val="center"/>
          </w:tcPr>
          <w:p>
            <w:pPr>
              <w:spacing w:line="520" w:lineRule="exact"/>
              <w:jc w:val="center"/>
              <w:rPr>
                <w:rFonts w:hint="eastAsia"/>
                <w:sz w:val="24"/>
              </w:rPr>
            </w:pPr>
            <w:r>
              <w:rPr>
                <w:rFonts w:hint="eastAsia"/>
                <w:sz w:val="24"/>
              </w:rPr>
              <w:t>考评方法</w:t>
            </w:r>
          </w:p>
        </w:tc>
        <w:tc>
          <w:tcPr>
            <w:tcW w:w="1072" w:type="dxa"/>
            <w:vAlign w:val="center"/>
          </w:tcPr>
          <w:p>
            <w:pPr>
              <w:spacing w:line="520" w:lineRule="exact"/>
              <w:jc w:val="center"/>
              <w:rPr>
                <w:rFonts w:hint="eastAsia"/>
                <w:sz w:val="24"/>
              </w:rPr>
            </w:pPr>
            <w:r>
              <w:rPr>
                <w:rFonts w:hint="eastAsia"/>
                <w:sz w:val="24"/>
              </w:rPr>
              <w:t>自查自评</w:t>
            </w:r>
          </w:p>
        </w:tc>
        <w:tc>
          <w:tcPr>
            <w:tcW w:w="1100" w:type="dxa"/>
            <w:vAlign w:val="center"/>
          </w:tcPr>
          <w:p>
            <w:pPr>
              <w:spacing w:line="520" w:lineRule="exact"/>
              <w:jc w:val="center"/>
              <w:rPr>
                <w:rFonts w:hint="eastAsia"/>
                <w:sz w:val="24"/>
              </w:rPr>
            </w:pPr>
            <w:r>
              <w:rPr>
                <w:rFonts w:hint="eastAsia"/>
                <w:sz w:val="24"/>
              </w:rPr>
              <w:t>考评结果</w:t>
            </w: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1637" w:hRule="atLeast"/>
          <w:jc w:val="center"/>
        </w:trPr>
        <w:tc>
          <w:tcPr>
            <w:tcW w:w="812" w:type="dxa"/>
            <w:vMerge w:val="restart"/>
            <w:vAlign w:val="center"/>
          </w:tcPr>
          <w:p>
            <w:pPr>
              <w:spacing w:line="520" w:lineRule="exact"/>
              <w:jc w:val="center"/>
              <w:rPr>
                <w:rFonts w:hint="eastAsia"/>
                <w:sz w:val="24"/>
              </w:rPr>
            </w:pPr>
            <w:r>
              <w:rPr>
                <w:rFonts w:hint="eastAsia"/>
                <w:sz w:val="24"/>
              </w:rPr>
              <w:t>组</w:t>
            </w:r>
          </w:p>
          <w:p>
            <w:pPr>
              <w:spacing w:line="520" w:lineRule="exact"/>
              <w:jc w:val="center"/>
              <w:rPr>
                <w:rFonts w:hint="eastAsia"/>
                <w:sz w:val="24"/>
              </w:rPr>
            </w:pPr>
            <w:r>
              <w:rPr>
                <w:rFonts w:hint="eastAsia"/>
                <w:sz w:val="24"/>
              </w:rPr>
              <w:t>织</w:t>
            </w:r>
          </w:p>
          <w:p>
            <w:pPr>
              <w:spacing w:line="520" w:lineRule="exact"/>
              <w:jc w:val="center"/>
              <w:rPr>
                <w:rFonts w:hint="eastAsia"/>
                <w:sz w:val="24"/>
              </w:rPr>
            </w:pPr>
            <w:r>
              <w:rPr>
                <w:rFonts w:hint="eastAsia"/>
                <w:sz w:val="24"/>
              </w:rPr>
              <w:t>健</w:t>
            </w:r>
          </w:p>
          <w:p>
            <w:pPr>
              <w:spacing w:line="520" w:lineRule="exact"/>
              <w:jc w:val="center"/>
              <w:rPr>
                <w:rFonts w:hint="eastAsia"/>
                <w:sz w:val="24"/>
              </w:rPr>
            </w:pPr>
            <w:r>
              <w:rPr>
                <w:rFonts w:hint="eastAsia"/>
                <w:sz w:val="24"/>
              </w:rPr>
              <w:t>全</w:t>
            </w:r>
          </w:p>
          <w:p>
            <w:pPr>
              <w:spacing w:line="520" w:lineRule="exact"/>
              <w:jc w:val="center"/>
              <w:rPr>
                <w:rFonts w:hint="eastAsia"/>
                <w:sz w:val="24"/>
              </w:rPr>
            </w:pPr>
            <w:r>
              <w:rPr>
                <w:rFonts w:hint="eastAsia"/>
                <w:sz w:val="24"/>
              </w:rPr>
              <w:t>（10）</w:t>
            </w:r>
          </w:p>
        </w:tc>
        <w:tc>
          <w:tcPr>
            <w:tcW w:w="466" w:type="dxa"/>
            <w:vAlign w:val="center"/>
          </w:tcPr>
          <w:p>
            <w:pPr>
              <w:spacing w:line="520" w:lineRule="exact"/>
              <w:jc w:val="center"/>
              <w:rPr>
                <w:rFonts w:hint="eastAsia"/>
                <w:sz w:val="24"/>
              </w:rPr>
            </w:pPr>
            <w:r>
              <w:rPr>
                <w:rFonts w:hint="eastAsia"/>
                <w:sz w:val="24"/>
              </w:rPr>
              <w:t>1</w:t>
            </w:r>
          </w:p>
        </w:tc>
        <w:tc>
          <w:tcPr>
            <w:tcW w:w="4183" w:type="dxa"/>
            <w:vAlign w:val="center"/>
          </w:tcPr>
          <w:p>
            <w:pPr>
              <w:spacing w:line="400" w:lineRule="exact"/>
              <w:rPr>
                <w:rFonts w:hint="eastAsia"/>
                <w:sz w:val="24"/>
              </w:rPr>
            </w:pPr>
            <w:r>
              <w:rPr>
                <w:rFonts w:hint="eastAsia"/>
                <w:sz w:val="24"/>
              </w:rPr>
              <w:t>建立工地综治领导小组，健全由总包项目经理负责，建设方、监理方工程负责人、各专业分包和劳务企业项目负责人组成的综治工作网络，配有安检、巡逻、消防和门岗警卫力量。有工作安排，有检查落实，有总结</w:t>
            </w:r>
          </w:p>
        </w:tc>
        <w:tc>
          <w:tcPr>
            <w:tcW w:w="481" w:type="dxa"/>
            <w:vAlign w:val="center"/>
          </w:tcPr>
          <w:p>
            <w:pPr>
              <w:spacing w:line="520" w:lineRule="exact"/>
              <w:jc w:val="center"/>
              <w:rPr>
                <w:rFonts w:hint="eastAsia"/>
                <w:sz w:val="24"/>
              </w:rPr>
            </w:pPr>
            <w:r>
              <w:rPr>
                <w:rFonts w:hint="eastAsia"/>
                <w:sz w:val="24"/>
              </w:rPr>
              <w:t>5</w:t>
            </w:r>
          </w:p>
        </w:tc>
        <w:tc>
          <w:tcPr>
            <w:tcW w:w="1129" w:type="dxa"/>
            <w:vAlign w:val="center"/>
          </w:tcPr>
          <w:p>
            <w:pPr>
              <w:spacing w:line="400" w:lineRule="exact"/>
              <w:rPr>
                <w:rFonts w:hint="eastAsia"/>
                <w:sz w:val="24"/>
              </w:rPr>
            </w:pPr>
            <w:r>
              <w:rPr>
                <w:rFonts w:hint="eastAsia"/>
                <w:sz w:val="24"/>
              </w:rPr>
              <w:t>查资料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415"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2</w:t>
            </w:r>
          </w:p>
        </w:tc>
        <w:tc>
          <w:tcPr>
            <w:tcW w:w="4183" w:type="dxa"/>
            <w:vAlign w:val="center"/>
          </w:tcPr>
          <w:p>
            <w:pPr>
              <w:spacing w:line="400" w:lineRule="exact"/>
              <w:rPr>
                <w:rFonts w:hint="eastAsia"/>
                <w:sz w:val="24"/>
              </w:rPr>
            </w:pPr>
            <w:r>
              <w:rPr>
                <w:rFonts w:hint="eastAsia"/>
                <w:sz w:val="24"/>
              </w:rPr>
              <w:t>层层落实综治目标管理责任制，有签约、考核、奖惩兑现</w:t>
            </w:r>
          </w:p>
        </w:tc>
        <w:tc>
          <w:tcPr>
            <w:tcW w:w="481" w:type="dxa"/>
            <w:vAlign w:val="center"/>
          </w:tcPr>
          <w:p>
            <w:pPr>
              <w:spacing w:line="520" w:lineRule="exact"/>
              <w:jc w:val="center"/>
              <w:rPr>
                <w:rFonts w:hint="eastAsia"/>
                <w:sz w:val="24"/>
              </w:rPr>
            </w:pPr>
            <w:r>
              <w:rPr>
                <w:rFonts w:hint="eastAsia"/>
                <w:sz w:val="24"/>
              </w:rPr>
              <w:t>3</w:t>
            </w:r>
          </w:p>
        </w:tc>
        <w:tc>
          <w:tcPr>
            <w:tcW w:w="1129" w:type="dxa"/>
            <w:vAlign w:val="center"/>
          </w:tcPr>
          <w:p>
            <w:pPr>
              <w:spacing w:line="400" w:lineRule="exact"/>
              <w:rPr>
                <w:rFonts w:hint="eastAsia"/>
                <w:sz w:val="24"/>
              </w:rPr>
            </w:pPr>
            <w:r>
              <w:rPr>
                <w:rFonts w:hint="eastAsia"/>
                <w:sz w:val="24"/>
              </w:rPr>
              <w:t>查资料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476"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3</w:t>
            </w:r>
          </w:p>
        </w:tc>
        <w:tc>
          <w:tcPr>
            <w:tcW w:w="4183" w:type="dxa"/>
            <w:vAlign w:val="center"/>
          </w:tcPr>
          <w:p>
            <w:pPr>
              <w:spacing w:line="400" w:lineRule="exact"/>
              <w:rPr>
                <w:rFonts w:hint="eastAsia"/>
                <w:sz w:val="24"/>
              </w:rPr>
            </w:pPr>
            <w:r>
              <w:rPr>
                <w:rFonts w:hint="eastAsia"/>
                <w:sz w:val="24"/>
              </w:rPr>
              <w:t>社区共建，形成齐抓共创的工作局面</w:t>
            </w:r>
          </w:p>
        </w:tc>
        <w:tc>
          <w:tcPr>
            <w:tcW w:w="481" w:type="dxa"/>
            <w:vAlign w:val="center"/>
          </w:tcPr>
          <w:p>
            <w:pPr>
              <w:spacing w:line="520" w:lineRule="exact"/>
              <w:jc w:val="center"/>
              <w:rPr>
                <w:rFonts w:hint="eastAsia"/>
                <w:sz w:val="24"/>
              </w:rPr>
            </w:pPr>
            <w:r>
              <w:rPr>
                <w:rFonts w:hint="eastAsia"/>
                <w:sz w:val="24"/>
              </w:rPr>
              <w:t>2</w:t>
            </w:r>
          </w:p>
        </w:tc>
        <w:tc>
          <w:tcPr>
            <w:tcW w:w="1129" w:type="dxa"/>
            <w:vAlign w:val="center"/>
          </w:tcPr>
          <w:p>
            <w:pPr>
              <w:spacing w:line="400" w:lineRule="exact"/>
              <w:rPr>
                <w:rFonts w:hint="eastAsia"/>
                <w:sz w:val="24"/>
              </w:rPr>
            </w:pPr>
            <w:r>
              <w:rPr>
                <w:rFonts w:hint="eastAsia"/>
                <w:sz w:val="24"/>
              </w:rPr>
              <w:t>查资料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892" w:hRule="atLeast"/>
          <w:jc w:val="center"/>
        </w:trPr>
        <w:tc>
          <w:tcPr>
            <w:tcW w:w="812" w:type="dxa"/>
            <w:vMerge w:val="restart"/>
            <w:vAlign w:val="center"/>
          </w:tcPr>
          <w:p>
            <w:pPr>
              <w:spacing w:line="520" w:lineRule="exact"/>
              <w:jc w:val="center"/>
              <w:rPr>
                <w:rFonts w:hint="eastAsia"/>
                <w:sz w:val="24"/>
              </w:rPr>
            </w:pPr>
            <w:r>
              <w:rPr>
                <w:rFonts w:hint="eastAsia"/>
                <w:sz w:val="24"/>
              </w:rPr>
              <w:t>治</w:t>
            </w:r>
          </w:p>
          <w:p>
            <w:pPr>
              <w:spacing w:line="520" w:lineRule="exact"/>
              <w:jc w:val="center"/>
              <w:rPr>
                <w:rFonts w:hint="eastAsia"/>
                <w:sz w:val="24"/>
              </w:rPr>
            </w:pPr>
            <w:r>
              <w:rPr>
                <w:rFonts w:hint="eastAsia"/>
                <w:sz w:val="24"/>
              </w:rPr>
              <w:t>安</w:t>
            </w:r>
          </w:p>
          <w:p>
            <w:pPr>
              <w:spacing w:line="520" w:lineRule="exact"/>
              <w:jc w:val="center"/>
              <w:rPr>
                <w:rFonts w:hint="eastAsia"/>
                <w:sz w:val="24"/>
              </w:rPr>
            </w:pPr>
            <w:r>
              <w:rPr>
                <w:rFonts w:hint="eastAsia"/>
                <w:sz w:val="24"/>
              </w:rPr>
              <w:t>防</w:t>
            </w:r>
          </w:p>
          <w:p>
            <w:pPr>
              <w:spacing w:line="520" w:lineRule="exact"/>
              <w:jc w:val="center"/>
              <w:rPr>
                <w:rFonts w:hint="eastAsia"/>
                <w:sz w:val="24"/>
              </w:rPr>
            </w:pPr>
            <w:r>
              <w:rPr>
                <w:rFonts w:hint="eastAsia"/>
                <w:sz w:val="24"/>
              </w:rPr>
              <w:t>控</w:t>
            </w:r>
          </w:p>
          <w:p>
            <w:pPr>
              <w:spacing w:line="520" w:lineRule="exact"/>
              <w:jc w:val="center"/>
              <w:rPr>
                <w:rFonts w:hint="eastAsia"/>
                <w:sz w:val="24"/>
              </w:rPr>
            </w:pPr>
            <w:r>
              <w:rPr>
                <w:rFonts w:hint="eastAsia"/>
                <w:sz w:val="24"/>
              </w:rPr>
              <w:t>（20）</w:t>
            </w:r>
          </w:p>
        </w:tc>
        <w:tc>
          <w:tcPr>
            <w:tcW w:w="466" w:type="dxa"/>
            <w:vAlign w:val="center"/>
          </w:tcPr>
          <w:p>
            <w:pPr>
              <w:spacing w:line="520" w:lineRule="exact"/>
              <w:jc w:val="center"/>
              <w:rPr>
                <w:rFonts w:hint="eastAsia"/>
                <w:sz w:val="24"/>
              </w:rPr>
            </w:pPr>
            <w:r>
              <w:rPr>
                <w:rFonts w:hint="eastAsia"/>
                <w:sz w:val="24"/>
              </w:rPr>
              <w:t>4</w:t>
            </w:r>
          </w:p>
        </w:tc>
        <w:tc>
          <w:tcPr>
            <w:tcW w:w="4183" w:type="dxa"/>
            <w:vAlign w:val="center"/>
          </w:tcPr>
          <w:p>
            <w:pPr>
              <w:spacing w:line="400" w:lineRule="exact"/>
              <w:rPr>
                <w:rFonts w:hint="eastAsia"/>
                <w:sz w:val="24"/>
              </w:rPr>
            </w:pPr>
            <w:r>
              <w:rPr>
                <w:rFonts w:hint="eastAsia"/>
                <w:sz w:val="24"/>
              </w:rPr>
              <w:t>工地内设专职门卫，配备必要的应急通讯器材，人员和物资凭证出入，有巡查、值班交接记录</w:t>
            </w:r>
          </w:p>
        </w:tc>
        <w:tc>
          <w:tcPr>
            <w:tcW w:w="481" w:type="dxa"/>
            <w:vAlign w:val="center"/>
          </w:tcPr>
          <w:p>
            <w:pPr>
              <w:spacing w:line="520" w:lineRule="exact"/>
              <w:jc w:val="center"/>
              <w:rPr>
                <w:rFonts w:hint="eastAsia"/>
                <w:sz w:val="24"/>
              </w:rPr>
            </w:pPr>
            <w:r>
              <w:rPr>
                <w:rFonts w:hint="eastAsia"/>
                <w:sz w:val="24"/>
              </w:rPr>
              <w:t>5</w:t>
            </w:r>
          </w:p>
        </w:tc>
        <w:tc>
          <w:tcPr>
            <w:tcW w:w="1129" w:type="dxa"/>
            <w:vAlign w:val="center"/>
          </w:tcPr>
          <w:p>
            <w:pPr>
              <w:spacing w:line="400" w:lineRule="exact"/>
              <w:rPr>
                <w:rFonts w:hint="eastAsia"/>
                <w:sz w:val="24"/>
              </w:rPr>
            </w:pPr>
            <w:r>
              <w:rPr>
                <w:rFonts w:hint="eastAsia"/>
                <w:sz w:val="24"/>
              </w:rPr>
              <w:t>查现场及资料</w:t>
            </w:r>
          </w:p>
        </w:tc>
        <w:tc>
          <w:tcPr>
            <w:tcW w:w="1072" w:type="dxa"/>
            <w:vAlign w:val="center"/>
          </w:tcPr>
          <w:p>
            <w:pPr>
              <w:spacing w:line="520" w:lineRule="exact"/>
              <w:jc w:val="center"/>
              <w:rPr>
                <w:rFonts w:hint="eastAsia"/>
                <w:sz w:val="24"/>
              </w:rPr>
            </w:pPr>
          </w:p>
        </w:tc>
        <w:tc>
          <w:tcPr>
            <w:tcW w:w="1100" w:type="dxa"/>
            <w:tcBorders>
              <w:top w:val="nil"/>
            </w:tcBorders>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892"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5</w:t>
            </w:r>
          </w:p>
        </w:tc>
        <w:tc>
          <w:tcPr>
            <w:tcW w:w="4183" w:type="dxa"/>
            <w:vAlign w:val="center"/>
          </w:tcPr>
          <w:p>
            <w:pPr>
              <w:spacing w:line="400" w:lineRule="exact"/>
              <w:rPr>
                <w:rFonts w:hint="eastAsia"/>
                <w:sz w:val="24"/>
              </w:rPr>
            </w:pPr>
            <w:r>
              <w:rPr>
                <w:rFonts w:hint="eastAsia"/>
                <w:sz w:val="24"/>
              </w:rPr>
              <w:t>严格执行三级防火审批制度，动火前防护及应急措施到位，动火后及时清理现场，不留隐患</w:t>
            </w:r>
          </w:p>
        </w:tc>
        <w:tc>
          <w:tcPr>
            <w:tcW w:w="481" w:type="dxa"/>
            <w:vAlign w:val="center"/>
          </w:tcPr>
          <w:p>
            <w:pPr>
              <w:spacing w:line="520" w:lineRule="exact"/>
              <w:jc w:val="center"/>
              <w:rPr>
                <w:rFonts w:hint="eastAsia"/>
                <w:sz w:val="24"/>
              </w:rPr>
            </w:pPr>
            <w:r>
              <w:rPr>
                <w:rFonts w:hint="eastAsia"/>
                <w:sz w:val="24"/>
              </w:rPr>
              <w:t>5</w:t>
            </w:r>
          </w:p>
        </w:tc>
        <w:tc>
          <w:tcPr>
            <w:tcW w:w="1129" w:type="dxa"/>
            <w:vAlign w:val="center"/>
          </w:tcPr>
          <w:p>
            <w:pPr>
              <w:spacing w:line="400" w:lineRule="exact"/>
              <w:rPr>
                <w:rFonts w:hint="eastAsia"/>
                <w:sz w:val="24"/>
              </w:rPr>
            </w:pPr>
            <w:r>
              <w:rPr>
                <w:rFonts w:hint="eastAsia"/>
                <w:sz w:val="24"/>
              </w:rPr>
              <w:t>查现场及资料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865"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6</w:t>
            </w:r>
          </w:p>
        </w:tc>
        <w:tc>
          <w:tcPr>
            <w:tcW w:w="4183" w:type="dxa"/>
            <w:vAlign w:val="center"/>
          </w:tcPr>
          <w:p>
            <w:pPr>
              <w:spacing w:line="400" w:lineRule="exact"/>
              <w:rPr>
                <w:rFonts w:hint="eastAsia"/>
                <w:sz w:val="24"/>
              </w:rPr>
            </w:pPr>
            <w:r>
              <w:rPr>
                <w:rFonts w:hint="eastAsia"/>
                <w:sz w:val="24"/>
              </w:rPr>
              <w:t>坚持和落实重点时期集中开展矛盾纠纷排查调处与经常性的定期排查相结合的工作制度，掌握情况，及时上报，有效化解不稳定因素</w:t>
            </w:r>
          </w:p>
        </w:tc>
        <w:tc>
          <w:tcPr>
            <w:tcW w:w="481" w:type="dxa"/>
            <w:vAlign w:val="center"/>
          </w:tcPr>
          <w:p>
            <w:pPr>
              <w:spacing w:line="520" w:lineRule="exact"/>
              <w:jc w:val="center"/>
              <w:rPr>
                <w:rFonts w:hint="eastAsia"/>
                <w:sz w:val="24"/>
              </w:rPr>
            </w:pPr>
            <w:r>
              <w:rPr>
                <w:rFonts w:hint="eastAsia"/>
                <w:sz w:val="24"/>
              </w:rPr>
              <w:t>7</w:t>
            </w:r>
          </w:p>
        </w:tc>
        <w:tc>
          <w:tcPr>
            <w:tcW w:w="1129" w:type="dxa"/>
            <w:vAlign w:val="center"/>
          </w:tcPr>
          <w:p>
            <w:pPr>
              <w:spacing w:line="400" w:lineRule="exact"/>
              <w:rPr>
                <w:rFonts w:hint="eastAsia"/>
                <w:sz w:val="24"/>
              </w:rPr>
            </w:pPr>
            <w:r>
              <w:rPr>
                <w:rFonts w:hint="eastAsia"/>
                <w:sz w:val="24"/>
              </w:rPr>
              <w:t>查资料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1014"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7</w:t>
            </w:r>
          </w:p>
        </w:tc>
        <w:tc>
          <w:tcPr>
            <w:tcW w:w="4183" w:type="dxa"/>
            <w:vAlign w:val="center"/>
          </w:tcPr>
          <w:p>
            <w:pPr>
              <w:spacing w:line="400" w:lineRule="exact"/>
              <w:rPr>
                <w:rFonts w:hint="eastAsia"/>
                <w:sz w:val="24"/>
              </w:rPr>
            </w:pPr>
            <w:r>
              <w:rPr>
                <w:rFonts w:hint="eastAsia"/>
                <w:sz w:val="24"/>
              </w:rPr>
              <w:t>制定切实可行的各类突发事件应急预案和处置流程，有关人员熟知、掌握预案，并定期演练</w:t>
            </w:r>
          </w:p>
        </w:tc>
        <w:tc>
          <w:tcPr>
            <w:tcW w:w="481" w:type="dxa"/>
            <w:vAlign w:val="center"/>
          </w:tcPr>
          <w:p>
            <w:pPr>
              <w:spacing w:line="520" w:lineRule="exact"/>
              <w:jc w:val="center"/>
              <w:rPr>
                <w:rFonts w:hint="eastAsia"/>
                <w:sz w:val="24"/>
              </w:rPr>
            </w:pPr>
            <w:r>
              <w:rPr>
                <w:rFonts w:hint="eastAsia"/>
                <w:sz w:val="24"/>
              </w:rPr>
              <w:t>7</w:t>
            </w:r>
          </w:p>
        </w:tc>
        <w:tc>
          <w:tcPr>
            <w:tcW w:w="1129" w:type="dxa"/>
            <w:vAlign w:val="center"/>
          </w:tcPr>
          <w:p>
            <w:pPr>
              <w:spacing w:line="400" w:lineRule="exact"/>
              <w:rPr>
                <w:rFonts w:hint="eastAsia"/>
                <w:sz w:val="24"/>
              </w:rPr>
            </w:pPr>
            <w:r>
              <w:rPr>
                <w:rFonts w:hint="eastAsia"/>
                <w:sz w:val="24"/>
              </w:rPr>
              <w:t>查资料及向有关人员了解</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925" w:hRule="atLeast"/>
          <w:jc w:val="center"/>
        </w:trPr>
        <w:tc>
          <w:tcPr>
            <w:tcW w:w="812" w:type="dxa"/>
            <w:vMerge w:val="restart"/>
            <w:tcBorders>
              <w:right w:val="single" w:color="auto" w:sz="4" w:space="0"/>
            </w:tcBorders>
            <w:vAlign w:val="center"/>
          </w:tcPr>
          <w:p>
            <w:pPr>
              <w:spacing w:line="520" w:lineRule="exact"/>
              <w:jc w:val="center"/>
              <w:rPr>
                <w:rFonts w:hint="eastAsia"/>
                <w:sz w:val="24"/>
              </w:rPr>
            </w:pPr>
            <w:r>
              <w:rPr>
                <w:rFonts w:hint="eastAsia"/>
                <w:sz w:val="24"/>
              </w:rPr>
              <w:t>劳</w:t>
            </w:r>
          </w:p>
          <w:p>
            <w:pPr>
              <w:spacing w:line="520" w:lineRule="exact"/>
              <w:jc w:val="center"/>
              <w:rPr>
                <w:rFonts w:hint="eastAsia"/>
                <w:sz w:val="24"/>
              </w:rPr>
            </w:pPr>
            <w:r>
              <w:rPr>
                <w:rFonts w:hint="eastAsia"/>
                <w:sz w:val="24"/>
              </w:rPr>
              <w:t>务</w:t>
            </w:r>
          </w:p>
          <w:p>
            <w:pPr>
              <w:spacing w:line="520" w:lineRule="exact"/>
              <w:jc w:val="center"/>
              <w:rPr>
                <w:rFonts w:hint="eastAsia"/>
                <w:sz w:val="24"/>
              </w:rPr>
            </w:pPr>
            <w:r>
              <w:rPr>
                <w:rFonts w:hint="eastAsia"/>
                <w:sz w:val="24"/>
              </w:rPr>
              <w:t>人</w:t>
            </w:r>
          </w:p>
          <w:p>
            <w:pPr>
              <w:spacing w:line="520" w:lineRule="exact"/>
              <w:jc w:val="center"/>
              <w:rPr>
                <w:rFonts w:hint="eastAsia"/>
                <w:sz w:val="24"/>
              </w:rPr>
            </w:pPr>
            <w:r>
              <w:rPr>
                <w:rFonts w:hint="eastAsia"/>
                <w:sz w:val="24"/>
              </w:rPr>
              <w:t>员</w:t>
            </w:r>
          </w:p>
          <w:p>
            <w:pPr>
              <w:spacing w:line="520" w:lineRule="exact"/>
              <w:jc w:val="center"/>
              <w:rPr>
                <w:rFonts w:hint="eastAsia"/>
                <w:sz w:val="24"/>
              </w:rPr>
            </w:pPr>
            <w:r>
              <w:rPr>
                <w:rFonts w:hint="eastAsia"/>
                <w:sz w:val="24"/>
              </w:rPr>
              <w:t>教</w:t>
            </w:r>
          </w:p>
          <w:p>
            <w:pPr>
              <w:spacing w:line="520" w:lineRule="exact"/>
              <w:jc w:val="center"/>
              <w:rPr>
                <w:rFonts w:hint="eastAsia"/>
                <w:sz w:val="24"/>
              </w:rPr>
            </w:pPr>
            <w:r>
              <w:rPr>
                <w:rFonts w:hint="eastAsia"/>
                <w:sz w:val="24"/>
              </w:rPr>
              <w:t>育</w:t>
            </w:r>
          </w:p>
          <w:p>
            <w:pPr>
              <w:spacing w:line="520" w:lineRule="exact"/>
              <w:jc w:val="center"/>
              <w:rPr>
                <w:rFonts w:hint="eastAsia"/>
                <w:sz w:val="24"/>
              </w:rPr>
            </w:pPr>
            <w:r>
              <w:rPr>
                <w:rFonts w:hint="eastAsia"/>
                <w:sz w:val="24"/>
              </w:rPr>
              <w:t>管</w:t>
            </w:r>
          </w:p>
          <w:p>
            <w:pPr>
              <w:spacing w:line="520" w:lineRule="exact"/>
              <w:jc w:val="center"/>
              <w:rPr>
                <w:rFonts w:hint="eastAsia"/>
                <w:sz w:val="24"/>
              </w:rPr>
            </w:pPr>
            <w:r>
              <w:rPr>
                <w:rFonts w:hint="eastAsia"/>
                <w:sz w:val="24"/>
              </w:rPr>
              <w:t>理</w:t>
            </w:r>
          </w:p>
          <w:p>
            <w:pPr>
              <w:spacing w:line="520" w:lineRule="exact"/>
              <w:jc w:val="center"/>
              <w:rPr>
                <w:rFonts w:hint="eastAsia"/>
                <w:sz w:val="24"/>
              </w:rPr>
            </w:pPr>
            <w:r>
              <w:rPr>
                <w:rFonts w:hint="eastAsia"/>
                <w:sz w:val="24"/>
              </w:rPr>
              <w:t>（20）</w:t>
            </w:r>
          </w:p>
        </w:tc>
        <w:tc>
          <w:tcPr>
            <w:tcW w:w="466" w:type="dxa"/>
            <w:tcBorders>
              <w:left w:val="single" w:color="auto" w:sz="4" w:space="0"/>
            </w:tcBorders>
            <w:vAlign w:val="center"/>
          </w:tcPr>
          <w:p>
            <w:pPr>
              <w:spacing w:line="520" w:lineRule="exact"/>
              <w:jc w:val="center"/>
              <w:rPr>
                <w:rFonts w:hint="eastAsia"/>
                <w:sz w:val="24"/>
              </w:rPr>
            </w:pPr>
            <w:r>
              <w:rPr>
                <w:rFonts w:hint="eastAsia"/>
                <w:sz w:val="24"/>
              </w:rPr>
              <w:t>8</w:t>
            </w:r>
          </w:p>
        </w:tc>
        <w:tc>
          <w:tcPr>
            <w:tcW w:w="4183" w:type="dxa"/>
            <w:vAlign w:val="center"/>
          </w:tcPr>
          <w:p>
            <w:pPr>
              <w:spacing w:line="400" w:lineRule="exact"/>
              <w:rPr>
                <w:rFonts w:hint="eastAsia"/>
                <w:sz w:val="24"/>
              </w:rPr>
            </w:pPr>
            <w:r>
              <w:rPr>
                <w:rFonts w:hint="eastAsia"/>
                <w:sz w:val="24"/>
              </w:rPr>
              <w:t>总包、专业分包单位应使用具有相应资质的劳务企业，并签定劳务分包合同，对进场务工人员实行实名制登记</w:t>
            </w:r>
          </w:p>
        </w:tc>
        <w:tc>
          <w:tcPr>
            <w:tcW w:w="481" w:type="dxa"/>
            <w:vAlign w:val="center"/>
          </w:tcPr>
          <w:p>
            <w:pPr>
              <w:spacing w:line="520" w:lineRule="exact"/>
              <w:jc w:val="center"/>
              <w:rPr>
                <w:rFonts w:hint="eastAsia"/>
                <w:sz w:val="24"/>
              </w:rPr>
            </w:pPr>
            <w:r>
              <w:rPr>
                <w:rFonts w:hint="eastAsia"/>
                <w:sz w:val="24"/>
              </w:rPr>
              <w:t>6</w:t>
            </w:r>
          </w:p>
        </w:tc>
        <w:tc>
          <w:tcPr>
            <w:tcW w:w="1129" w:type="dxa"/>
            <w:vAlign w:val="center"/>
          </w:tcPr>
          <w:p>
            <w:pPr>
              <w:spacing w:line="400" w:lineRule="exact"/>
              <w:rPr>
                <w:rFonts w:hint="eastAsia"/>
                <w:sz w:val="24"/>
              </w:rPr>
            </w:pPr>
            <w:r>
              <w:rPr>
                <w:rFonts w:hint="eastAsia"/>
                <w:sz w:val="24"/>
              </w:rPr>
              <w:t>查资料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397" w:hRule="atLeast"/>
          <w:jc w:val="center"/>
        </w:trPr>
        <w:tc>
          <w:tcPr>
            <w:tcW w:w="812" w:type="dxa"/>
            <w:vMerge w:val="continue"/>
            <w:tcBorders>
              <w:right w:val="single" w:color="auto" w:sz="4" w:space="0"/>
            </w:tcBorders>
            <w:vAlign w:val="center"/>
          </w:tcPr>
          <w:p>
            <w:pPr>
              <w:spacing w:line="520" w:lineRule="exact"/>
              <w:jc w:val="center"/>
              <w:rPr>
                <w:rFonts w:hint="eastAsia"/>
                <w:sz w:val="24"/>
              </w:rPr>
            </w:pPr>
          </w:p>
        </w:tc>
        <w:tc>
          <w:tcPr>
            <w:tcW w:w="466" w:type="dxa"/>
            <w:vMerge w:val="restart"/>
            <w:tcBorders>
              <w:left w:val="single" w:color="auto" w:sz="4" w:space="0"/>
            </w:tcBorders>
            <w:vAlign w:val="center"/>
          </w:tcPr>
          <w:p>
            <w:pPr>
              <w:spacing w:line="520" w:lineRule="exact"/>
              <w:jc w:val="center"/>
              <w:rPr>
                <w:rFonts w:hint="eastAsia"/>
                <w:sz w:val="24"/>
              </w:rPr>
            </w:pPr>
            <w:r>
              <w:rPr>
                <w:rFonts w:hint="eastAsia"/>
                <w:sz w:val="24"/>
              </w:rPr>
              <w:t>9</w:t>
            </w:r>
          </w:p>
        </w:tc>
        <w:tc>
          <w:tcPr>
            <w:tcW w:w="4183" w:type="dxa"/>
            <w:tcBorders>
              <w:bottom w:val="single" w:color="auto" w:sz="4" w:space="0"/>
            </w:tcBorders>
            <w:vAlign w:val="center"/>
          </w:tcPr>
          <w:p>
            <w:pPr>
              <w:spacing w:line="400" w:lineRule="exact"/>
              <w:rPr>
                <w:rFonts w:hint="eastAsia"/>
                <w:sz w:val="24"/>
              </w:rPr>
            </w:pPr>
            <w:r>
              <w:rPr>
                <w:rFonts w:hint="eastAsia"/>
                <w:sz w:val="24"/>
              </w:rPr>
              <w:t>总包单位应设立专职劳动工资管理员，建立和实行“工资专用帐户”和“工资卡”制度，严格按劳动合同约定支付工资</w:t>
            </w:r>
          </w:p>
        </w:tc>
        <w:tc>
          <w:tcPr>
            <w:tcW w:w="481" w:type="dxa"/>
            <w:tcBorders>
              <w:bottom w:val="single" w:color="auto" w:sz="4" w:space="0"/>
            </w:tcBorders>
            <w:vAlign w:val="center"/>
          </w:tcPr>
          <w:p>
            <w:pPr>
              <w:spacing w:line="520" w:lineRule="exact"/>
              <w:jc w:val="center"/>
              <w:rPr>
                <w:rFonts w:hint="eastAsia"/>
                <w:sz w:val="24"/>
              </w:rPr>
            </w:pPr>
            <w:r>
              <w:rPr>
                <w:rFonts w:hint="eastAsia"/>
                <w:sz w:val="24"/>
              </w:rPr>
              <w:t>5</w:t>
            </w:r>
          </w:p>
        </w:tc>
        <w:tc>
          <w:tcPr>
            <w:tcW w:w="1129" w:type="dxa"/>
            <w:tcBorders>
              <w:bottom w:val="single" w:color="auto" w:sz="4" w:space="0"/>
            </w:tcBorders>
            <w:vAlign w:val="center"/>
          </w:tcPr>
          <w:p>
            <w:pPr>
              <w:spacing w:line="400" w:lineRule="exact"/>
              <w:rPr>
                <w:rFonts w:hint="eastAsia"/>
                <w:sz w:val="24"/>
              </w:rPr>
            </w:pPr>
            <w:r>
              <w:rPr>
                <w:rFonts w:hint="eastAsia"/>
                <w:sz w:val="24"/>
              </w:rPr>
              <w:t>查资料</w:t>
            </w:r>
          </w:p>
        </w:tc>
        <w:tc>
          <w:tcPr>
            <w:tcW w:w="1072" w:type="dxa"/>
            <w:tcBorders>
              <w:bottom w:val="single" w:color="auto" w:sz="4" w:space="0"/>
            </w:tcBorders>
            <w:vAlign w:val="center"/>
          </w:tcPr>
          <w:p>
            <w:pPr>
              <w:spacing w:line="520" w:lineRule="exact"/>
              <w:jc w:val="center"/>
              <w:rPr>
                <w:rFonts w:hint="eastAsia"/>
                <w:sz w:val="24"/>
              </w:rPr>
            </w:pPr>
          </w:p>
        </w:tc>
        <w:tc>
          <w:tcPr>
            <w:tcW w:w="1100" w:type="dxa"/>
            <w:tcBorders>
              <w:bottom w:val="single" w:color="auto" w:sz="4" w:space="0"/>
            </w:tcBorders>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558" w:hRule="atLeast"/>
          <w:jc w:val="center"/>
        </w:trPr>
        <w:tc>
          <w:tcPr>
            <w:tcW w:w="812" w:type="dxa"/>
            <w:vMerge w:val="continue"/>
            <w:tcBorders>
              <w:right w:val="single" w:color="auto" w:sz="4" w:space="0"/>
            </w:tcBorders>
            <w:vAlign w:val="center"/>
          </w:tcPr>
          <w:p>
            <w:pPr>
              <w:spacing w:line="520" w:lineRule="exact"/>
              <w:jc w:val="center"/>
              <w:rPr>
                <w:rFonts w:hint="eastAsia"/>
                <w:sz w:val="24"/>
              </w:rPr>
            </w:pPr>
          </w:p>
        </w:tc>
        <w:tc>
          <w:tcPr>
            <w:tcW w:w="466" w:type="dxa"/>
            <w:vMerge w:val="continue"/>
            <w:tcBorders>
              <w:left w:val="single" w:color="auto" w:sz="4" w:space="0"/>
            </w:tcBorders>
            <w:vAlign w:val="center"/>
          </w:tcPr>
          <w:p>
            <w:pPr>
              <w:spacing w:line="520" w:lineRule="exact"/>
              <w:jc w:val="center"/>
              <w:rPr>
                <w:rFonts w:hint="eastAsia"/>
                <w:sz w:val="24"/>
              </w:rPr>
            </w:pPr>
          </w:p>
        </w:tc>
        <w:tc>
          <w:tcPr>
            <w:tcW w:w="4183" w:type="dxa"/>
            <w:tcBorders>
              <w:top w:val="single" w:color="auto" w:sz="4" w:space="0"/>
            </w:tcBorders>
            <w:vAlign w:val="center"/>
          </w:tcPr>
          <w:p>
            <w:pPr>
              <w:spacing w:line="400" w:lineRule="exact"/>
              <w:rPr>
                <w:rFonts w:hint="eastAsia"/>
                <w:sz w:val="24"/>
              </w:rPr>
            </w:pPr>
            <w:r>
              <w:rPr>
                <w:rFonts w:hint="eastAsia"/>
                <w:sz w:val="24"/>
              </w:rPr>
              <w:t>完善民工工资发放制度，防止发生民工欠薪引发的群体性上访事件</w:t>
            </w:r>
          </w:p>
        </w:tc>
        <w:tc>
          <w:tcPr>
            <w:tcW w:w="481" w:type="dxa"/>
            <w:tcBorders>
              <w:top w:val="single" w:color="auto" w:sz="4" w:space="0"/>
            </w:tcBorders>
            <w:vAlign w:val="center"/>
          </w:tcPr>
          <w:p>
            <w:pPr>
              <w:spacing w:line="520" w:lineRule="exact"/>
              <w:jc w:val="center"/>
              <w:rPr>
                <w:rFonts w:hint="eastAsia"/>
                <w:sz w:val="24"/>
              </w:rPr>
            </w:pPr>
            <w:r>
              <w:rPr>
                <w:rFonts w:hint="eastAsia"/>
                <w:sz w:val="24"/>
              </w:rPr>
              <w:t>7</w:t>
            </w:r>
          </w:p>
        </w:tc>
        <w:tc>
          <w:tcPr>
            <w:tcW w:w="1129" w:type="dxa"/>
            <w:tcBorders>
              <w:top w:val="single" w:color="auto" w:sz="4" w:space="0"/>
            </w:tcBorders>
            <w:vAlign w:val="center"/>
          </w:tcPr>
          <w:p>
            <w:pPr>
              <w:spacing w:line="400" w:lineRule="exact"/>
              <w:rPr>
                <w:rFonts w:hint="eastAsia"/>
                <w:sz w:val="24"/>
              </w:rPr>
            </w:pPr>
            <w:r>
              <w:rPr>
                <w:rFonts w:hint="eastAsia"/>
                <w:sz w:val="24"/>
              </w:rPr>
              <w:t>查资料</w:t>
            </w:r>
          </w:p>
        </w:tc>
        <w:tc>
          <w:tcPr>
            <w:tcW w:w="1072" w:type="dxa"/>
            <w:tcBorders>
              <w:top w:val="single" w:color="auto" w:sz="4" w:space="0"/>
            </w:tcBorders>
            <w:vAlign w:val="center"/>
          </w:tcPr>
          <w:p>
            <w:pPr>
              <w:spacing w:line="520" w:lineRule="exact"/>
              <w:jc w:val="center"/>
              <w:rPr>
                <w:rFonts w:hint="eastAsia"/>
                <w:sz w:val="24"/>
              </w:rPr>
            </w:pPr>
          </w:p>
        </w:tc>
        <w:tc>
          <w:tcPr>
            <w:tcW w:w="1100" w:type="dxa"/>
            <w:tcBorders>
              <w:top w:val="single" w:color="auto" w:sz="4" w:space="0"/>
            </w:tcBorders>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1074" w:hRule="atLeast"/>
          <w:jc w:val="center"/>
        </w:trPr>
        <w:tc>
          <w:tcPr>
            <w:tcW w:w="812" w:type="dxa"/>
            <w:vMerge w:val="continue"/>
            <w:tcBorders>
              <w:right w:val="single" w:color="auto" w:sz="4" w:space="0"/>
            </w:tcBorders>
            <w:vAlign w:val="center"/>
          </w:tcPr>
          <w:p>
            <w:pPr>
              <w:spacing w:line="520" w:lineRule="exact"/>
              <w:jc w:val="center"/>
              <w:rPr>
                <w:rFonts w:hint="eastAsia"/>
                <w:sz w:val="24"/>
              </w:rPr>
            </w:pPr>
          </w:p>
        </w:tc>
        <w:tc>
          <w:tcPr>
            <w:tcW w:w="466" w:type="dxa"/>
            <w:tcBorders>
              <w:left w:val="single" w:color="auto" w:sz="4" w:space="0"/>
            </w:tcBorders>
            <w:vAlign w:val="center"/>
          </w:tcPr>
          <w:p>
            <w:pPr>
              <w:spacing w:line="520" w:lineRule="exact"/>
              <w:jc w:val="center"/>
              <w:rPr>
                <w:rFonts w:hint="eastAsia"/>
                <w:sz w:val="24"/>
              </w:rPr>
            </w:pPr>
            <w:r>
              <w:rPr>
                <w:rFonts w:hint="eastAsia"/>
                <w:sz w:val="24"/>
              </w:rPr>
              <w:t>10</w:t>
            </w:r>
          </w:p>
        </w:tc>
        <w:tc>
          <w:tcPr>
            <w:tcW w:w="4183" w:type="dxa"/>
            <w:vAlign w:val="center"/>
          </w:tcPr>
          <w:p>
            <w:pPr>
              <w:spacing w:line="400" w:lineRule="exact"/>
              <w:rPr>
                <w:rFonts w:hint="eastAsia"/>
                <w:sz w:val="24"/>
              </w:rPr>
            </w:pPr>
            <w:r>
              <w:rPr>
                <w:rFonts w:hint="eastAsia"/>
                <w:sz w:val="24"/>
              </w:rPr>
              <w:t>不断改善务工人员的工作环境与生活条件，定期组织体检，开展健康向上的文娱活动，维护他们的合法权益</w:t>
            </w:r>
          </w:p>
        </w:tc>
        <w:tc>
          <w:tcPr>
            <w:tcW w:w="481" w:type="dxa"/>
            <w:vAlign w:val="center"/>
          </w:tcPr>
          <w:p>
            <w:pPr>
              <w:spacing w:line="520" w:lineRule="exact"/>
              <w:jc w:val="center"/>
              <w:rPr>
                <w:rFonts w:hint="eastAsia"/>
                <w:sz w:val="24"/>
              </w:rPr>
            </w:pPr>
            <w:r>
              <w:rPr>
                <w:rFonts w:hint="eastAsia"/>
                <w:sz w:val="24"/>
              </w:rPr>
              <w:t>4</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878" w:hRule="atLeast"/>
          <w:jc w:val="center"/>
        </w:trPr>
        <w:tc>
          <w:tcPr>
            <w:tcW w:w="812" w:type="dxa"/>
            <w:vMerge w:val="restart"/>
            <w:vAlign w:val="center"/>
          </w:tcPr>
          <w:p>
            <w:pPr>
              <w:spacing w:line="520" w:lineRule="exact"/>
              <w:jc w:val="center"/>
              <w:rPr>
                <w:rFonts w:hint="eastAsia"/>
                <w:sz w:val="24"/>
              </w:rPr>
            </w:pPr>
            <w:r>
              <w:rPr>
                <w:rFonts w:hint="eastAsia"/>
                <w:sz w:val="24"/>
              </w:rPr>
              <w:t>安</w:t>
            </w:r>
          </w:p>
          <w:p>
            <w:pPr>
              <w:spacing w:line="520" w:lineRule="exact"/>
              <w:jc w:val="center"/>
              <w:rPr>
                <w:rFonts w:hint="eastAsia"/>
                <w:sz w:val="24"/>
              </w:rPr>
            </w:pPr>
            <w:r>
              <w:rPr>
                <w:rFonts w:hint="eastAsia"/>
                <w:sz w:val="24"/>
              </w:rPr>
              <w:t>全</w:t>
            </w:r>
          </w:p>
          <w:p>
            <w:pPr>
              <w:spacing w:line="520" w:lineRule="exact"/>
              <w:jc w:val="center"/>
              <w:rPr>
                <w:rFonts w:hint="eastAsia"/>
                <w:sz w:val="24"/>
              </w:rPr>
            </w:pPr>
            <w:r>
              <w:rPr>
                <w:rFonts w:hint="eastAsia"/>
                <w:sz w:val="24"/>
              </w:rPr>
              <w:t>生</w:t>
            </w:r>
          </w:p>
          <w:p>
            <w:pPr>
              <w:spacing w:line="520" w:lineRule="exact"/>
              <w:jc w:val="center"/>
              <w:rPr>
                <w:rFonts w:hint="eastAsia"/>
                <w:sz w:val="24"/>
              </w:rPr>
            </w:pPr>
            <w:r>
              <w:rPr>
                <w:rFonts w:hint="eastAsia"/>
                <w:sz w:val="24"/>
              </w:rPr>
              <w:t>产</w:t>
            </w:r>
          </w:p>
          <w:p>
            <w:pPr>
              <w:spacing w:line="520" w:lineRule="exact"/>
              <w:jc w:val="center"/>
              <w:rPr>
                <w:rFonts w:hint="eastAsia"/>
                <w:sz w:val="24"/>
              </w:rPr>
            </w:pPr>
            <w:r>
              <w:rPr>
                <w:rFonts w:hint="eastAsia"/>
                <w:sz w:val="24"/>
              </w:rPr>
              <w:t>文</w:t>
            </w:r>
          </w:p>
          <w:p>
            <w:pPr>
              <w:spacing w:line="520" w:lineRule="exact"/>
              <w:jc w:val="center"/>
              <w:rPr>
                <w:rFonts w:hint="eastAsia"/>
                <w:sz w:val="24"/>
              </w:rPr>
            </w:pPr>
            <w:r>
              <w:rPr>
                <w:rFonts w:hint="eastAsia"/>
                <w:sz w:val="24"/>
              </w:rPr>
              <w:t>明</w:t>
            </w:r>
          </w:p>
          <w:p>
            <w:pPr>
              <w:spacing w:line="520" w:lineRule="exact"/>
              <w:jc w:val="center"/>
              <w:rPr>
                <w:rFonts w:hint="eastAsia"/>
                <w:sz w:val="24"/>
              </w:rPr>
            </w:pPr>
            <w:r>
              <w:rPr>
                <w:rFonts w:hint="eastAsia"/>
                <w:sz w:val="24"/>
              </w:rPr>
              <w:t>施</w:t>
            </w:r>
          </w:p>
          <w:p>
            <w:pPr>
              <w:spacing w:line="520" w:lineRule="exact"/>
              <w:jc w:val="center"/>
              <w:rPr>
                <w:rFonts w:hint="eastAsia"/>
                <w:sz w:val="24"/>
              </w:rPr>
            </w:pPr>
            <w:r>
              <w:rPr>
                <w:rFonts w:hint="eastAsia"/>
                <w:sz w:val="24"/>
              </w:rPr>
              <w:t>工</w:t>
            </w:r>
          </w:p>
          <w:p>
            <w:pPr>
              <w:spacing w:line="520" w:lineRule="exact"/>
              <w:jc w:val="center"/>
              <w:rPr>
                <w:rFonts w:hint="eastAsia"/>
                <w:sz w:val="24"/>
              </w:rPr>
            </w:pPr>
            <w:r>
              <w:rPr>
                <w:rFonts w:hint="eastAsia"/>
                <w:sz w:val="24"/>
              </w:rPr>
              <w:t>（20）</w:t>
            </w:r>
          </w:p>
        </w:tc>
        <w:tc>
          <w:tcPr>
            <w:tcW w:w="466" w:type="dxa"/>
            <w:vAlign w:val="center"/>
          </w:tcPr>
          <w:p>
            <w:pPr>
              <w:spacing w:line="520" w:lineRule="exact"/>
              <w:jc w:val="center"/>
              <w:rPr>
                <w:rFonts w:hint="eastAsia"/>
                <w:sz w:val="24"/>
              </w:rPr>
            </w:pPr>
            <w:r>
              <w:rPr>
                <w:rFonts w:hint="eastAsia"/>
                <w:sz w:val="24"/>
              </w:rPr>
              <w:t>11</w:t>
            </w:r>
          </w:p>
        </w:tc>
        <w:tc>
          <w:tcPr>
            <w:tcW w:w="4183" w:type="dxa"/>
            <w:vAlign w:val="center"/>
          </w:tcPr>
          <w:p>
            <w:pPr>
              <w:spacing w:line="400" w:lineRule="exact"/>
              <w:rPr>
                <w:rFonts w:hint="eastAsia"/>
                <w:sz w:val="24"/>
              </w:rPr>
            </w:pPr>
            <w:r>
              <w:rPr>
                <w:rFonts w:hint="eastAsia"/>
                <w:sz w:val="24"/>
              </w:rPr>
              <w:t>施工方、监理方建立健全安全生产各项管理制度，加强日常安全教育、检查和考核，认真开展隐患排查整改工作</w:t>
            </w:r>
          </w:p>
        </w:tc>
        <w:tc>
          <w:tcPr>
            <w:tcW w:w="481" w:type="dxa"/>
            <w:vAlign w:val="center"/>
          </w:tcPr>
          <w:p>
            <w:pPr>
              <w:spacing w:line="520" w:lineRule="exact"/>
              <w:jc w:val="center"/>
              <w:rPr>
                <w:rFonts w:hint="eastAsia"/>
                <w:sz w:val="24"/>
              </w:rPr>
            </w:pPr>
            <w:r>
              <w:rPr>
                <w:rFonts w:hint="eastAsia"/>
                <w:sz w:val="24"/>
              </w:rPr>
              <w:t>7</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669"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12</w:t>
            </w:r>
          </w:p>
        </w:tc>
        <w:tc>
          <w:tcPr>
            <w:tcW w:w="4183" w:type="dxa"/>
            <w:vAlign w:val="center"/>
          </w:tcPr>
          <w:p>
            <w:pPr>
              <w:spacing w:line="400" w:lineRule="exact"/>
              <w:rPr>
                <w:rFonts w:hint="eastAsia"/>
                <w:sz w:val="24"/>
              </w:rPr>
            </w:pPr>
            <w:r>
              <w:rPr>
                <w:rFonts w:hint="eastAsia"/>
                <w:sz w:val="24"/>
              </w:rPr>
              <w:t>确保防汛设施和地下管线畅通、安全，做好防尘措施，降低噪声及施工扰民工作，夜间施工办理许可证，并向社会告示</w:t>
            </w:r>
          </w:p>
        </w:tc>
        <w:tc>
          <w:tcPr>
            <w:tcW w:w="481" w:type="dxa"/>
            <w:vAlign w:val="center"/>
          </w:tcPr>
          <w:p>
            <w:pPr>
              <w:spacing w:line="520" w:lineRule="exact"/>
              <w:jc w:val="center"/>
              <w:rPr>
                <w:rFonts w:hint="eastAsia"/>
                <w:sz w:val="24"/>
              </w:rPr>
            </w:pPr>
            <w:r>
              <w:rPr>
                <w:rFonts w:hint="eastAsia"/>
                <w:sz w:val="24"/>
              </w:rPr>
              <w:t>6</w:t>
            </w:r>
          </w:p>
        </w:tc>
        <w:tc>
          <w:tcPr>
            <w:tcW w:w="1129" w:type="dxa"/>
            <w:vAlign w:val="center"/>
          </w:tcPr>
          <w:p>
            <w:pPr>
              <w:spacing w:line="400" w:lineRule="exact"/>
              <w:rPr>
                <w:rFonts w:hint="eastAsia"/>
                <w:sz w:val="24"/>
              </w:rPr>
            </w:pPr>
            <w:r>
              <w:rPr>
                <w:rFonts w:hint="eastAsia"/>
                <w:sz w:val="24"/>
              </w:rPr>
              <w:t>查现场及有关资料</w:t>
            </w:r>
          </w:p>
          <w:p>
            <w:pPr>
              <w:spacing w:line="400" w:lineRule="exact"/>
              <w:rPr>
                <w:rFonts w:hint="eastAsia"/>
                <w:sz w:val="24"/>
              </w:rPr>
            </w:pPr>
            <w:r>
              <w:rPr>
                <w:rFonts w:hint="eastAsia"/>
                <w:sz w:val="24"/>
              </w:rPr>
              <w:t>向有关人员了解</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593"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13</w:t>
            </w:r>
          </w:p>
        </w:tc>
        <w:tc>
          <w:tcPr>
            <w:tcW w:w="4183" w:type="dxa"/>
            <w:vAlign w:val="center"/>
          </w:tcPr>
          <w:p>
            <w:pPr>
              <w:spacing w:line="400" w:lineRule="exact"/>
              <w:rPr>
                <w:rFonts w:hint="eastAsia"/>
                <w:sz w:val="24"/>
              </w:rPr>
            </w:pPr>
            <w:r>
              <w:rPr>
                <w:rFonts w:hint="eastAsia"/>
                <w:sz w:val="24"/>
              </w:rPr>
              <w:t>施工区域有围护设施，并与生活区分离</w:t>
            </w:r>
          </w:p>
        </w:tc>
        <w:tc>
          <w:tcPr>
            <w:tcW w:w="481" w:type="dxa"/>
            <w:vAlign w:val="center"/>
          </w:tcPr>
          <w:p>
            <w:pPr>
              <w:spacing w:line="520" w:lineRule="exact"/>
              <w:jc w:val="center"/>
              <w:rPr>
                <w:rFonts w:hint="eastAsia"/>
                <w:sz w:val="24"/>
              </w:rPr>
            </w:pPr>
            <w:r>
              <w:rPr>
                <w:rFonts w:hint="eastAsia"/>
                <w:sz w:val="24"/>
              </w:rPr>
              <w:t>4</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536"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14</w:t>
            </w:r>
          </w:p>
        </w:tc>
        <w:tc>
          <w:tcPr>
            <w:tcW w:w="4183" w:type="dxa"/>
            <w:vAlign w:val="center"/>
          </w:tcPr>
          <w:p>
            <w:pPr>
              <w:spacing w:line="400" w:lineRule="exact"/>
              <w:rPr>
                <w:rFonts w:hint="eastAsia"/>
                <w:sz w:val="24"/>
              </w:rPr>
            </w:pPr>
            <w:r>
              <w:rPr>
                <w:rFonts w:hint="eastAsia"/>
                <w:sz w:val="24"/>
              </w:rPr>
              <w:t>从事特殊工种作业人员，须持证上岗</w:t>
            </w:r>
          </w:p>
        </w:tc>
        <w:tc>
          <w:tcPr>
            <w:tcW w:w="481" w:type="dxa"/>
            <w:vAlign w:val="center"/>
          </w:tcPr>
          <w:p>
            <w:pPr>
              <w:spacing w:line="520" w:lineRule="exact"/>
              <w:jc w:val="center"/>
              <w:rPr>
                <w:rFonts w:hint="eastAsia"/>
                <w:sz w:val="24"/>
              </w:rPr>
            </w:pPr>
            <w:r>
              <w:rPr>
                <w:rFonts w:hint="eastAsia"/>
                <w:sz w:val="24"/>
              </w:rPr>
              <w:t>5</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937" w:hRule="atLeast"/>
          <w:jc w:val="center"/>
        </w:trPr>
        <w:tc>
          <w:tcPr>
            <w:tcW w:w="812" w:type="dxa"/>
            <w:vMerge w:val="restart"/>
            <w:vAlign w:val="center"/>
          </w:tcPr>
          <w:p>
            <w:pPr>
              <w:spacing w:line="520" w:lineRule="exact"/>
              <w:jc w:val="center"/>
              <w:rPr>
                <w:rFonts w:hint="eastAsia"/>
                <w:sz w:val="24"/>
              </w:rPr>
            </w:pPr>
            <w:r>
              <w:rPr>
                <w:rFonts w:hint="eastAsia"/>
                <w:sz w:val="24"/>
              </w:rPr>
              <w:t>工</w:t>
            </w:r>
          </w:p>
          <w:p>
            <w:pPr>
              <w:spacing w:line="520" w:lineRule="exact"/>
              <w:jc w:val="center"/>
              <w:rPr>
                <w:rFonts w:hint="eastAsia"/>
                <w:sz w:val="24"/>
              </w:rPr>
            </w:pPr>
            <w:r>
              <w:rPr>
                <w:rFonts w:hint="eastAsia"/>
                <w:sz w:val="24"/>
              </w:rPr>
              <w:t>地</w:t>
            </w:r>
          </w:p>
          <w:p>
            <w:pPr>
              <w:spacing w:line="520" w:lineRule="exact"/>
              <w:jc w:val="center"/>
              <w:rPr>
                <w:rFonts w:hint="eastAsia"/>
                <w:sz w:val="24"/>
              </w:rPr>
            </w:pPr>
            <w:r>
              <w:rPr>
                <w:rFonts w:hint="eastAsia"/>
                <w:sz w:val="24"/>
              </w:rPr>
              <w:t>现</w:t>
            </w:r>
          </w:p>
          <w:p>
            <w:pPr>
              <w:spacing w:line="520" w:lineRule="exact"/>
              <w:jc w:val="center"/>
              <w:rPr>
                <w:rFonts w:hint="eastAsia"/>
                <w:sz w:val="24"/>
              </w:rPr>
            </w:pPr>
            <w:r>
              <w:rPr>
                <w:rFonts w:hint="eastAsia"/>
                <w:sz w:val="24"/>
              </w:rPr>
              <w:t>场</w:t>
            </w:r>
          </w:p>
          <w:p>
            <w:pPr>
              <w:spacing w:line="520" w:lineRule="exact"/>
              <w:jc w:val="center"/>
              <w:rPr>
                <w:rFonts w:hint="eastAsia"/>
                <w:sz w:val="24"/>
              </w:rPr>
            </w:pPr>
            <w:r>
              <w:rPr>
                <w:rFonts w:hint="eastAsia"/>
                <w:sz w:val="24"/>
              </w:rPr>
              <w:t>管</w:t>
            </w:r>
          </w:p>
          <w:p>
            <w:pPr>
              <w:spacing w:line="520" w:lineRule="exact"/>
              <w:jc w:val="center"/>
              <w:rPr>
                <w:rFonts w:hint="eastAsia"/>
                <w:sz w:val="24"/>
              </w:rPr>
            </w:pPr>
            <w:r>
              <w:rPr>
                <w:rFonts w:hint="eastAsia"/>
                <w:sz w:val="24"/>
              </w:rPr>
              <w:t>理</w:t>
            </w:r>
          </w:p>
          <w:p>
            <w:pPr>
              <w:spacing w:line="520" w:lineRule="exact"/>
              <w:jc w:val="center"/>
              <w:rPr>
                <w:rFonts w:hint="eastAsia"/>
                <w:sz w:val="24"/>
              </w:rPr>
            </w:pPr>
            <w:r>
              <w:rPr>
                <w:rFonts w:hint="eastAsia"/>
                <w:sz w:val="24"/>
              </w:rPr>
              <w:t>（30）</w:t>
            </w:r>
          </w:p>
        </w:tc>
        <w:tc>
          <w:tcPr>
            <w:tcW w:w="466" w:type="dxa"/>
            <w:vAlign w:val="center"/>
          </w:tcPr>
          <w:p>
            <w:pPr>
              <w:spacing w:line="520" w:lineRule="exact"/>
              <w:jc w:val="center"/>
              <w:rPr>
                <w:rFonts w:hint="eastAsia"/>
                <w:sz w:val="24"/>
              </w:rPr>
            </w:pPr>
            <w:r>
              <w:rPr>
                <w:rFonts w:hint="eastAsia"/>
                <w:sz w:val="24"/>
              </w:rPr>
              <w:t>15</w:t>
            </w:r>
          </w:p>
        </w:tc>
        <w:tc>
          <w:tcPr>
            <w:tcW w:w="4183" w:type="dxa"/>
            <w:vAlign w:val="center"/>
          </w:tcPr>
          <w:p>
            <w:pPr>
              <w:spacing w:line="400" w:lineRule="exact"/>
              <w:rPr>
                <w:rFonts w:hint="eastAsia"/>
                <w:sz w:val="24"/>
              </w:rPr>
            </w:pPr>
            <w:r>
              <w:rPr>
                <w:rFonts w:hint="eastAsia"/>
                <w:sz w:val="24"/>
              </w:rPr>
              <w:t>门卫、财务、危险品存放点、仓库、配电间、木工间、宿舍、食堂等部位各项安全防范制度上墙。综治宣传栏、民工维权告示牌应固定于工地醒目处</w:t>
            </w:r>
          </w:p>
        </w:tc>
        <w:tc>
          <w:tcPr>
            <w:tcW w:w="481" w:type="dxa"/>
            <w:vAlign w:val="center"/>
          </w:tcPr>
          <w:p>
            <w:pPr>
              <w:spacing w:line="520" w:lineRule="exact"/>
              <w:jc w:val="center"/>
              <w:rPr>
                <w:rFonts w:hint="eastAsia"/>
                <w:sz w:val="24"/>
              </w:rPr>
            </w:pPr>
            <w:r>
              <w:rPr>
                <w:rFonts w:hint="eastAsia"/>
                <w:sz w:val="24"/>
              </w:rPr>
              <w:t>5</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835"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16</w:t>
            </w:r>
          </w:p>
        </w:tc>
        <w:tc>
          <w:tcPr>
            <w:tcW w:w="4183" w:type="dxa"/>
            <w:vAlign w:val="center"/>
          </w:tcPr>
          <w:p>
            <w:pPr>
              <w:spacing w:line="400" w:lineRule="exact"/>
              <w:rPr>
                <w:rFonts w:hint="eastAsia"/>
                <w:sz w:val="24"/>
              </w:rPr>
            </w:pPr>
            <w:r>
              <w:rPr>
                <w:rFonts w:hint="eastAsia"/>
                <w:sz w:val="24"/>
              </w:rPr>
              <w:t>工地禁火区标志明显，作业区、办公区、宿舍等部位按规定配备足够有效的灭火器材，消防应急通道畅通</w:t>
            </w:r>
          </w:p>
        </w:tc>
        <w:tc>
          <w:tcPr>
            <w:tcW w:w="481" w:type="dxa"/>
            <w:vAlign w:val="center"/>
          </w:tcPr>
          <w:p>
            <w:pPr>
              <w:spacing w:line="520" w:lineRule="exact"/>
              <w:jc w:val="center"/>
              <w:rPr>
                <w:rFonts w:hint="eastAsia"/>
                <w:sz w:val="24"/>
              </w:rPr>
            </w:pPr>
            <w:r>
              <w:rPr>
                <w:rFonts w:hint="eastAsia"/>
                <w:sz w:val="24"/>
              </w:rPr>
              <w:t>6</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956"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17</w:t>
            </w:r>
          </w:p>
        </w:tc>
        <w:tc>
          <w:tcPr>
            <w:tcW w:w="4183" w:type="dxa"/>
            <w:vAlign w:val="center"/>
          </w:tcPr>
          <w:p>
            <w:pPr>
              <w:spacing w:line="400" w:lineRule="exact"/>
              <w:rPr>
                <w:rFonts w:hint="eastAsia"/>
                <w:sz w:val="24"/>
              </w:rPr>
            </w:pPr>
            <w:r>
              <w:rPr>
                <w:rFonts w:hint="eastAsia"/>
                <w:sz w:val="24"/>
              </w:rPr>
              <w:t>工地及宿舍内严禁乱接乱拉电线，不得违章使用电炉、电加热器，不准使用未经公安消防部门审核批准的液化气钢瓶</w:t>
            </w:r>
          </w:p>
        </w:tc>
        <w:tc>
          <w:tcPr>
            <w:tcW w:w="481" w:type="dxa"/>
            <w:vAlign w:val="center"/>
          </w:tcPr>
          <w:p>
            <w:pPr>
              <w:spacing w:line="520" w:lineRule="exact"/>
              <w:jc w:val="center"/>
              <w:rPr>
                <w:rFonts w:hint="eastAsia"/>
                <w:sz w:val="24"/>
              </w:rPr>
            </w:pPr>
            <w:r>
              <w:rPr>
                <w:rFonts w:hint="eastAsia"/>
                <w:sz w:val="24"/>
              </w:rPr>
              <w:t>5</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956"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18</w:t>
            </w:r>
          </w:p>
        </w:tc>
        <w:tc>
          <w:tcPr>
            <w:tcW w:w="4183" w:type="dxa"/>
            <w:vAlign w:val="center"/>
          </w:tcPr>
          <w:p>
            <w:pPr>
              <w:spacing w:line="400" w:lineRule="exact"/>
              <w:rPr>
                <w:rFonts w:hint="eastAsia"/>
                <w:sz w:val="24"/>
              </w:rPr>
            </w:pPr>
            <w:r>
              <w:rPr>
                <w:rFonts w:hint="eastAsia"/>
                <w:sz w:val="24"/>
              </w:rPr>
              <w:t>自行车、摩托车、电瓶车集中停放，严禁无牌、无照车辆进入停放</w:t>
            </w:r>
          </w:p>
        </w:tc>
        <w:tc>
          <w:tcPr>
            <w:tcW w:w="481" w:type="dxa"/>
            <w:vAlign w:val="center"/>
          </w:tcPr>
          <w:p>
            <w:pPr>
              <w:spacing w:line="520" w:lineRule="exact"/>
              <w:jc w:val="center"/>
              <w:rPr>
                <w:rFonts w:hint="eastAsia"/>
                <w:sz w:val="24"/>
              </w:rPr>
            </w:pPr>
            <w:r>
              <w:rPr>
                <w:rFonts w:hint="eastAsia"/>
                <w:sz w:val="24"/>
              </w:rPr>
              <w:t>3</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outset" w:color="111111" w:sz="6" w:space="0"/>
            <w:insideV w:val="outset" w:color="111111" w:sz="6" w:space="0"/>
          </w:tblBorders>
          <w:tblLayout w:type="fixed"/>
          <w:tblCellMar>
            <w:top w:w="0" w:type="dxa"/>
            <w:left w:w="0" w:type="dxa"/>
            <w:bottom w:w="0" w:type="dxa"/>
            <w:right w:w="0" w:type="dxa"/>
          </w:tblCellMar>
        </w:tblPrEx>
        <w:trPr>
          <w:trHeight w:val="956" w:hRule="atLeast"/>
          <w:jc w:val="center"/>
        </w:trPr>
        <w:tc>
          <w:tcPr>
            <w:tcW w:w="812" w:type="dxa"/>
            <w:vMerge w:val="continue"/>
            <w:vAlign w:val="center"/>
          </w:tcPr>
          <w:p>
            <w:pPr>
              <w:spacing w:line="520" w:lineRule="exact"/>
              <w:jc w:val="center"/>
              <w:rPr>
                <w:rFonts w:hint="eastAsia"/>
                <w:sz w:val="24"/>
              </w:rPr>
            </w:pPr>
          </w:p>
        </w:tc>
        <w:tc>
          <w:tcPr>
            <w:tcW w:w="466" w:type="dxa"/>
            <w:vAlign w:val="center"/>
          </w:tcPr>
          <w:p>
            <w:pPr>
              <w:spacing w:line="520" w:lineRule="exact"/>
              <w:jc w:val="center"/>
              <w:rPr>
                <w:rFonts w:hint="eastAsia"/>
                <w:sz w:val="24"/>
              </w:rPr>
            </w:pPr>
            <w:r>
              <w:rPr>
                <w:rFonts w:hint="eastAsia"/>
                <w:sz w:val="24"/>
              </w:rPr>
              <w:t>19</w:t>
            </w:r>
          </w:p>
        </w:tc>
        <w:tc>
          <w:tcPr>
            <w:tcW w:w="4183" w:type="dxa"/>
            <w:vAlign w:val="center"/>
          </w:tcPr>
          <w:p>
            <w:pPr>
              <w:spacing w:line="400" w:lineRule="exact"/>
              <w:rPr>
                <w:rFonts w:hint="eastAsia"/>
                <w:sz w:val="24"/>
              </w:rPr>
            </w:pPr>
            <w:r>
              <w:rPr>
                <w:rFonts w:hint="eastAsia"/>
                <w:sz w:val="24"/>
              </w:rPr>
              <w:t>食堂持有效许可证，就餐环境卫生，炊具清洁，炊事员持有效健康证，操作行为规范</w:t>
            </w:r>
          </w:p>
        </w:tc>
        <w:tc>
          <w:tcPr>
            <w:tcW w:w="481" w:type="dxa"/>
            <w:vAlign w:val="center"/>
          </w:tcPr>
          <w:p>
            <w:pPr>
              <w:spacing w:line="520" w:lineRule="exact"/>
              <w:jc w:val="center"/>
              <w:rPr>
                <w:rFonts w:hint="eastAsia"/>
                <w:sz w:val="24"/>
              </w:rPr>
            </w:pPr>
            <w:r>
              <w:rPr>
                <w:rFonts w:hint="eastAsia"/>
                <w:sz w:val="24"/>
              </w:rPr>
              <w:t>3</w:t>
            </w:r>
          </w:p>
        </w:tc>
        <w:tc>
          <w:tcPr>
            <w:tcW w:w="1129" w:type="dxa"/>
            <w:vAlign w:val="center"/>
          </w:tcPr>
          <w:p>
            <w:pPr>
              <w:spacing w:line="400" w:lineRule="exact"/>
              <w:rPr>
                <w:rFonts w:hint="eastAsia"/>
                <w:sz w:val="24"/>
              </w:rPr>
            </w:pPr>
            <w:r>
              <w:rPr>
                <w:rFonts w:hint="eastAsia"/>
                <w:sz w:val="24"/>
              </w:rPr>
              <w:t>查现场及有关资料</w:t>
            </w:r>
          </w:p>
        </w:tc>
        <w:tc>
          <w:tcPr>
            <w:tcW w:w="1072" w:type="dxa"/>
            <w:vAlign w:val="center"/>
          </w:tcPr>
          <w:p>
            <w:pPr>
              <w:spacing w:line="520" w:lineRule="exact"/>
              <w:jc w:val="center"/>
              <w:rPr>
                <w:rFonts w:hint="eastAsia"/>
                <w:sz w:val="24"/>
              </w:rPr>
            </w:pPr>
          </w:p>
        </w:tc>
        <w:tc>
          <w:tcPr>
            <w:tcW w:w="1100" w:type="dxa"/>
            <w:vAlign w:val="center"/>
          </w:tcPr>
          <w:p>
            <w:pPr>
              <w:spacing w:line="520" w:lineRule="exact"/>
              <w:jc w:val="center"/>
              <w:rPr>
                <w:rFonts w:hint="eastAsia"/>
                <w:sz w:val="24"/>
              </w:rPr>
            </w:pPr>
          </w:p>
        </w:tc>
      </w:tr>
    </w:tbl>
    <w:p>
      <w:pPr>
        <w:spacing w:line="520" w:lineRule="exact"/>
        <w:rPr>
          <w:rFonts w:hint="eastAsia"/>
          <w:sz w:val="24"/>
        </w:rPr>
      </w:pPr>
    </w:p>
    <w:p>
      <w:pPr>
        <w:spacing w:line="520" w:lineRule="exact"/>
        <w:rPr>
          <w:rFonts w:hint="eastAsia"/>
          <w:sz w:val="24"/>
        </w:rPr>
      </w:pPr>
      <w:r>
        <w:rPr>
          <w:rFonts w:hint="eastAsia"/>
          <w:sz w:val="24"/>
        </w:rPr>
        <w:t xml:space="preserve">考评标准（试行）说明： </w:t>
      </w:r>
    </w:p>
    <w:p>
      <w:pPr>
        <w:spacing w:line="520" w:lineRule="exact"/>
        <w:rPr>
          <w:rFonts w:hint="eastAsia"/>
          <w:sz w:val="24"/>
        </w:rPr>
      </w:pPr>
      <w:r>
        <w:rPr>
          <w:rFonts w:hint="eastAsia"/>
          <w:sz w:val="24"/>
        </w:rPr>
        <w:t xml:space="preserve">　　1、考评标准的分值为100分，自评分值达到85分以上，可申报“平安工地”达标工程。 </w:t>
      </w:r>
    </w:p>
    <w:p>
      <w:pPr>
        <w:spacing w:line="520" w:lineRule="exact"/>
        <w:rPr>
          <w:rFonts w:hint="eastAsia"/>
          <w:sz w:val="24"/>
        </w:rPr>
      </w:pPr>
      <w:r>
        <w:rPr>
          <w:rFonts w:hint="eastAsia"/>
          <w:sz w:val="24"/>
        </w:rPr>
        <w:t xml:space="preserve">　　2、考评工作由市建设工程质量安全监督站负责实施。 </w:t>
      </w:r>
    </w:p>
    <w:p>
      <w:pPr>
        <w:spacing w:line="520" w:lineRule="exact"/>
        <w:ind w:firstLine="480" w:firstLineChars="200"/>
        <w:rPr>
          <w:rFonts w:hint="eastAsia"/>
          <w:sz w:val="24"/>
        </w:rPr>
      </w:pPr>
      <w:r>
        <w:rPr>
          <w:rFonts w:hint="eastAsia"/>
          <w:sz w:val="24"/>
        </w:rPr>
        <w:t>3、本考评标准由市住房和城乡规划建设局负责解释。</w:t>
      </w: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ascii="黑体" w:hAnsi="黑体" w:eastAsia="黑体"/>
        </w:rPr>
      </w:pPr>
      <w:r>
        <w:rPr>
          <w:rFonts w:hint="eastAsia" w:ascii="黑体" w:hAnsi="黑体" w:eastAsia="黑体"/>
        </w:rPr>
        <w:t>附件2</w:t>
      </w:r>
    </w:p>
    <w:p>
      <w:pPr>
        <w:spacing w:line="200" w:lineRule="exact"/>
        <w:rPr>
          <w:rFonts w:hint="eastAsia" w:ascii="黑体" w:hAnsi="黑体" w:eastAsia="黑体"/>
        </w:rPr>
      </w:pP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桐乡市“平安建筑企业”考核标准</w:t>
      </w:r>
    </w:p>
    <w:tbl>
      <w:tblPr>
        <w:tblStyle w:val="5"/>
        <w:tblW w:w="9485" w:type="dxa"/>
        <w:jc w:val="center"/>
        <w:tblInd w:w="-8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855"/>
        <w:gridCol w:w="793"/>
        <w:gridCol w:w="1514"/>
        <w:gridCol w:w="14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jc w:val="center"/>
        </w:trPr>
        <w:tc>
          <w:tcPr>
            <w:tcW w:w="852" w:type="dxa"/>
            <w:vAlign w:val="center"/>
          </w:tcPr>
          <w:p>
            <w:pPr>
              <w:spacing w:line="380" w:lineRule="exact"/>
              <w:jc w:val="center"/>
              <w:rPr>
                <w:rFonts w:hint="eastAsia"/>
                <w:sz w:val="24"/>
              </w:rPr>
            </w:pPr>
            <w:r>
              <w:rPr>
                <w:rFonts w:hint="eastAsia"/>
                <w:sz w:val="24"/>
              </w:rPr>
              <w:t>序号</w:t>
            </w:r>
          </w:p>
        </w:tc>
        <w:tc>
          <w:tcPr>
            <w:tcW w:w="4855" w:type="dxa"/>
            <w:vAlign w:val="center"/>
          </w:tcPr>
          <w:p>
            <w:pPr>
              <w:spacing w:line="380" w:lineRule="exact"/>
              <w:jc w:val="center"/>
              <w:rPr>
                <w:rFonts w:hint="eastAsia"/>
                <w:sz w:val="24"/>
              </w:rPr>
            </w:pPr>
            <w:r>
              <w:rPr>
                <w:rFonts w:hint="eastAsia"/>
                <w:sz w:val="24"/>
              </w:rPr>
              <w:t>评分标准</w:t>
            </w:r>
          </w:p>
        </w:tc>
        <w:tc>
          <w:tcPr>
            <w:tcW w:w="793" w:type="dxa"/>
            <w:vAlign w:val="center"/>
          </w:tcPr>
          <w:p>
            <w:pPr>
              <w:spacing w:line="380" w:lineRule="exact"/>
              <w:jc w:val="center"/>
              <w:rPr>
                <w:rFonts w:hint="eastAsia"/>
                <w:sz w:val="24"/>
              </w:rPr>
            </w:pPr>
            <w:r>
              <w:rPr>
                <w:rFonts w:hint="eastAsia"/>
                <w:sz w:val="24"/>
              </w:rPr>
              <w:t>分值</w:t>
            </w:r>
          </w:p>
        </w:tc>
        <w:tc>
          <w:tcPr>
            <w:tcW w:w="1514" w:type="dxa"/>
            <w:vAlign w:val="center"/>
          </w:tcPr>
          <w:p>
            <w:pPr>
              <w:spacing w:line="380" w:lineRule="exact"/>
              <w:jc w:val="center"/>
              <w:rPr>
                <w:rFonts w:hint="eastAsia"/>
                <w:sz w:val="24"/>
              </w:rPr>
            </w:pPr>
            <w:r>
              <w:rPr>
                <w:rFonts w:hint="eastAsia"/>
                <w:sz w:val="24"/>
              </w:rPr>
              <w:t>自评自查</w:t>
            </w:r>
          </w:p>
        </w:tc>
        <w:tc>
          <w:tcPr>
            <w:tcW w:w="1471" w:type="dxa"/>
            <w:vAlign w:val="center"/>
          </w:tcPr>
          <w:p>
            <w:pPr>
              <w:spacing w:line="380" w:lineRule="exact"/>
              <w:jc w:val="center"/>
              <w:rPr>
                <w:rFonts w:hint="eastAsia"/>
                <w:sz w:val="24"/>
              </w:rPr>
            </w:pPr>
            <w:r>
              <w:rPr>
                <w:rFonts w:hint="eastAsia"/>
                <w:sz w:val="24"/>
              </w:rPr>
              <w:t>考评结果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852" w:type="dxa"/>
            <w:vAlign w:val="center"/>
          </w:tcPr>
          <w:p>
            <w:pPr>
              <w:spacing w:line="520" w:lineRule="exact"/>
              <w:jc w:val="center"/>
              <w:rPr>
                <w:rFonts w:hint="eastAsia"/>
                <w:sz w:val="24"/>
              </w:rPr>
            </w:pPr>
            <w:r>
              <w:rPr>
                <w:rFonts w:hint="eastAsia"/>
                <w:sz w:val="24"/>
              </w:rPr>
              <w:t>1</w:t>
            </w:r>
          </w:p>
        </w:tc>
        <w:tc>
          <w:tcPr>
            <w:tcW w:w="4855" w:type="dxa"/>
            <w:vAlign w:val="center"/>
          </w:tcPr>
          <w:p>
            <w:pPr>
              <w:spacing w:line="360" w:lineRule="exact"/>
              <w:rPr>
                <w:rFonts w:hint="eastAsia"/>
                <w:sz w:val="24"/>
              </w:rPr>
            </w:pPr>
            <w:r>
              <w:rPr>
                <w:rFonts w:hint="eastAsia"/>
                <w:sz w:val="24"/>
              </w:rPr>
              <w:t>建立“平安工地”创建工作领导机构，并有专人负责本企业“安安工地”创建的推进和实施</w:t>
            </w:r>
          </w:p>
        </w:tc>
        <w:tc>
          <w:tcPr>
            <w:tcW w:w="793" w:type="dxa"/>
            <w:vAlign w:val="center"/>
          </w:tcPr>
          <w:p>
            <w:pPr>
              <w:spacing w:line="520" w:lineRule="exact"/>
              <w:jc w:val="center"/>
              <w:rPr>
                <w:rFonts w:hint="eastAsia"/>
                <w:sz w:val="24"/>
              </w:rPr>
            </w:pPr>
            <w:r>
              <w:rPr>
                <w:rFonts w:hint="eastAsia"/>
                <w:sz w:val="24"/>
              </w:rPr>
              <w:t>10</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6" w:hRule="exact"/>
          <w:jc w:val="center"/>
        </w:trPr>
        <w:tc>
          <w:tcPr>
            <w:tcW w:w="852" w:type="dxa"/>
            <w:vAlign w:val="center"/>
          </w:tcPr>
          <w:p>
            <w:pPr>
              <w:spacing w:line="520" w:lineRule="exact"/>
              <w:jc w:val="center"/>
              <w:rPr>
                <w:rFonts w:hint="eastAsia"/>
                <w:sz w:val="24"/>
              </w:rPr>
            </w:pPr>
            <w:r>
              <w:rPr>
                <w:rFonts w:hint="eastAsia"/>
                <w:sz w:val="24"/>
              </w:rPr>
              <w:t>2</w:t>
            </w:r>
          </w:p>
        </w:tc>
        <w:tc>
          <w:tcPr>
            <w:tcW w:w="4855" w:type="dxa"/>
            <w:vAlign w:val="center"/>
          </w:tcPr>
          <w:p>
            <w:pPr>
              <w:spacing w:line="360" w:lineRule="exact"/>
              <w:rPr>
                <w:rFonts w:hint="eastAsia"/>
                <w:sz w:val="24"/>
              </w:rPr>
            </w:pPr>
            <w:r>
              <w:rPr>
                <w:rFonts w:hint="eastAsia"/>
                <w:sz w:val="24"/>
              </w:rPr>
              <w:t>维护国家安全和社会政治稳定，对各种敌对势力的渗透破坏活动严密防范，不出现影响政治、经济稳定的破坏事件</w:t>
            </w:r>
          </w:p>
        </w:tc>
        <w:tc>
          <w:tcPr>
            <w:tcW w:w="793" w:type="dxa"/>
            <w:vAlign w:val="center"/>
          </w:tcPr>
          <w:p>
            <w:pPr>
              <w:spacing w:line="520" w:lineRule="exact"/>
              <w:jc w:val="center"/>
              <w:rPr>
                <w:rFonts w:hint="eastAsia"/>
                <w:sz w:val="24"/>
              </w:rPr>
            </w:pPr>
            <w:r>
              <w:rPr>
                <w:rFonts w:hint="eastAsia"/>
                <w:sz w:val="24"/>
              </w:rPr>
              <w:t>10</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852" w:type="dxa"/>
            <w:vAlign w:val="center"/>
          </w:tcPr>
          <w:p>
            <w:pPr>
              <w:spacing w:line="520" w:lineRule="exact"/>
              <w:jc w:val="center"/>
              <w:rPr>
                <w:rFonts w:hint="eastAsia"/>
                <w:sz w:val="24"/>
              </w:rPr>
            </w:pPr>
            <w:r>
              <w:rPr>
                <w:rFonts w:hint="eastAsia"/>
                <w:sz w:val="24"/>
              </w:rPr>
              <w:t>3</w:t>
            </w:r>
          </w:p>
        </w:tc>
        <w:tc>
          <w:tcPr>
            <w:tcW w:w="4855" w:type="dxa"/>
            <w:vAlign w:val="center"/>
          </w:tcPr>
          <w:p>
            <w:pPr>
              <w:spacing w:line="360" w:lineRule="exact"/>
              <w:rPr>
                <w:rFonts w:hint="eastAsia"/>
                <w:sz w:val="24"/>
              </w:rPr>
            </w:pPr>
            <w:r>
              <w:rPr>
                <w:rFonts w:hint="eastAsia"/>
                <w:sz w:val="24"/>
              </w:rPr>
              <w:t>加强综合治理，单位全年无重大刑事案件，治安案件和灾害事故发生</w:t>
            </w:r>
          </w:p>
        </w:tc>
        <w:tc>
          <w:tcPr>
            <w:tcW w:w="793" w:type="dxa"/>
            <w:vAlign w:val="center"/>
          </w:tcPr>
          <w:p>
            <w:pPr>
              <w:spacing w:line="520" w:lineRule="exact"/>
              <w:jc w:val="center"/>
              <w:rPr>
                <w:rFonts w:hint="eastAsia"/>
                <w:sz w:val="24"/>
              </w:rPr>
            </w:pPr>
            <w:r>
              <w:rPr>
                <w:rFonts w:hint="eastAsia"/>
                <w:sz w:val="24"/>
              </w:rPr>
              <w:t>10</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6" w:hRule="exact"/>
          <w:jc w:val="center"/>
        </w:trPr>
        <w:tc>
          <w:tcPr>
            <w:tcW w:w="852" w:type="dxa"/>
            <w:vAlign w:val="center"/>
          </w:tcPr>
          <w:p>
            <w:pPr>
              <w:spacing w:line="520" w:lineRule="exact"/>
              <w:jc w:val="center"/>
              <w:rPr>
                <w:rFonts w:hint="eastAsia"/>
                <w:sz w:val="24"/>
              </w:rPr>
            </w:pPr>
            <w:r>
              <w:rPr>
                <w:rFonts w:hint="eastAsia"/>
                <w:sz w:val="24"/>
              </w:rPr>
              <w:t>4</w:t>
            </w:r>
          </w:p>
        </w:tc>
        <w:tc>
          <w:tcPr>
            <w:tcW w:w="4855" w:type="dxa"/>
            <w:vAlign w:val="center"/>
          </w:tcPr>
          <w:p>
            <w:pPr>
              <w:spacing w:line="360" w:lineRule="exact"/>
              <w:rPr>
                <w:rFonts w:hint="eastAsia"/>
                <w:sz w:val="24"/>
              </w:rPr>
            </w:pPr>
            <w:r>
              <w:rPr>
                <w:rFonts w:hint="eastAsia"/>
                <w:sz w:val="24"/>
              </w:rPr>
              <w:t>消防、安全生产管理机构健全，人员到位，管理措施得力，建立重大火灾和安全事故紧急处置预案</w:t>
            </w:r>
          </w:p>
        </w:tc>
        <w:tc>
          <w:tcPr>
            <w:tcW w:w="793" w:type="dxa"/>
            <w:vAlign w:val="center"/>
          </w:tcPr>
          <w:p>
            <w:pPr>
              <w:spacing w:line="520" w:lineRule="exact"/>
              <w:jc w:val="center"/>
              <w:rPr>
                <w:rFonts w:hint="eastAsia"/>
                <w:sz w:val="24"/>
              </w:rPr>
            </w:pPr>
            <w:r>
              <w:rPr>
                <w:rFonts w:hint="eastAsia"/>
                <w:sz w:val="24"/>
              </w:rPr>
              <w:t>10</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2" w:hRule="exact"/>
          <w:jc w:val="center"/>
        </w:trPr>
        <w:tc>
          <w:tcPr>
            <w:tcW w:w="852" w:type="dxa"/>
            <w:vAlign w:val="center"/>
          </w:tcPr>
          <w:p>
            <w:pPr>
              <w:spacing w:line="520" w:lineRule="exact"/>
              <w:jc w:val="center"/>
              <w:rPr>
                <w:rFonts w:hint="eastAsia"/>
                <w:sz w:val="24"/>
              </w:rPr>
            </w:pPr>
            <w:r>
              <w:rPr>
                <w:rFonts w:hint="eastAsia"/>
                <w:sz w:val="24"/>
              </w:rPr>
              <w:t>5</w:t>
            </w:r>
          </w:p>
        </w:tc>
        <w:tc>
          <w:tcPr>
            <w:tcW w:w="4855" w:type="dxa"/>
            <w:vAlign w:val="center"/>
          </w:tcPr>
          <w:p>
            <w:pPr>
              <w:spacing w:line="360" w:lineRule="exact"/>
              <w:rPr>
                <w:rFonts w:hint="eastAsia"/>
                <w:sz w:val="24"/>
              </w:rPr>
            </w:pPr>
            <w:r>
              <w:rPr>
                <w:rFonts w:hint="eastAsia"/>
                <w:sz w:val="24"/>
              </w:rPr>
              <w:t>加强企业人员的宣传教育培训，进一步完善民工学校这一宣教平台，确保民工总校和分校按要求建立并开展活动</w:t>
            </w:r>
          </w:p>
        </w:tc>
        <w:tc>
          <w:tcPr>
            <w:tcW w:w="793" w:type="dxa"/>
            <w:vAlign w:val="center"/>
          </w:tcPr>
          <w:p>
            <w:pPr>
              <w:spacing w:line="520" w:lineRule="exact"/>
              <w:jc w:val="center"/>
              <w:rPr>
                <w:rFonts w:hint="eastAsia"/>
                <w:sz w:val="24"/>
              </w:rPr>
            </w:pPr>
            <w:r>
              <w:rPr>
                <w:rFonts w:hint="eastAsia"/>
                <w:sz w:val="24"/>
              </w:rPr>
              <w:t>15</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60" w:hRule="exact"/>
          <w:jc w:val="center"/>
        </w:trPr>
        <w:tc>
          <w:tcPr>
            <w:tcW w:w="852" w:type="dxa"/>
            <w:vAlign w:val="center"/>
          </w:tcPr>
          <w:p>
            <w:pPr>
              <w:spacing w:line="520" w:lineRule="exact"/>
              <w:jc w:val="center"/>
              <w:rPr>
                <w:rFonts w:hint="eastAsia"/>
                <w:sz w:val="24"/>
              </w:rPr>
            </w:pPr>
            <w:r>
              <w:rPr>
                <w:rFonts w:hint="eastAsia"/>
                <w:sz w:val="24"/>
              </w:rPr>
              <w:t>6</w:t>
            </w:r>
          </w:p>
        </w:tc>
        <w:tc>
          <w:tcPr>
            <w:tcW w:w="4855" w:type="dxa"/>
            <w:vAlign w:val="center"/>
          </w:tcPr>
          <w:p>
            <w:pPr>
              <w:spacing w:line="360" w:lineRule="exact"/>
              <w:rPr>
                <w:rFonts w:hint="eastAsia"/>
                <w:sz w:val="24"/>
              </w:rPr>
            </w:pPr>
            <w:r>
              <w:rPr>
                <w:rFonts w:hint="eastAsia"/>
                <w:sz w:val="24"/>
              </w:rPr>
              <w:t>建立矛盾纠纷排查调处机制，工作制度和工作网络健全，一旦发生突发性事件和群体性事件能采取得力防控措施，迅速妥善处理</w:t>
            </w:r>
          </w:p>
        </w:tc>
        <w:tc>
          <w:tcPr>
            <w:tcW w:w="793" w:type="dxa"/>
            <w:vAlign w:val="center"/>
          </w:tcPr>
          <w:p>
            <w:pPr>
              <w:spacing w:line="520" w:lineRule="exact"/>
              <w:jc w:val="center"/>
              <w:rPr>
                <w:rFonts w:hint="eastAsia"/>
                <w:sz w:val="24"/>
              </w:rPr>
            </w:pPr>
            <w:r>
              <w:rPr>
                <w:rFonts w:hint="eastAsia"/>
                <w:sz w:val="24"/>
              </w:rPr>
              <w:t>10</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2" w:hRule="exact"/>
          <w:jc w:val="center"/>
        </w:trPr>
        <w:tc>
          <w:tcPr>
            <w:tcW w:w="852" w:type="dxa"/>
            <w:vAlign w:val="center"/>
          </w:tcPr>
          <w:p>
            <w:pPr>
              <w:spacing w:line="520" w:lineRule="exact"/>
              <w:jc w:val="center"/>
              <w:rPr>
                <w:rFonts w:hint="eastAsia"/>
                <w:sz w:val="24"/>
              </w:rPr>
            </w:pPr>
            <w:r>
              <w:rPr>
                <w:rFonts w:hint="eastAsia"/>
                <w:sz w:val="24"/>
              </w:rPr>
              <w:t>7</w:t>
            </w:r>
          </w:p>
        </w:tc>
        <w:tc>
          <w:tcPr>
            <w:tcW w:w="4855" w:type="dxa"/>
            <w:vAlign w:val="center"/>
          </w:tcPr>
          <w:p>
            <w:pPr>
              <w:spacing w:line="360" w:lineRule="exact"/>
              <w:rPr>
                <w:rFonts w:hint="eastAsia"/>
                <w:sz w:val="24"/>
              </w:rPr>
            </w:pPr>
            <w:r>
              <w:rPr>
                <w:rFonts w:hint="eastAsia"/>
                <w:sz w:val="24"/>
              </w:rPr>
              <w:t>建立健全安全管理台帐，对承建项目形象进度、安全施工检查管理、事故隐患整改通知书等进行记录管理</w:t>
            </w:r>
          </w:p>
        </w:tc>
        <w:tc>
          <w:tcPr>
            <w:tcW w:w="793" w:type="dxa"/>
            <w:vAlign w:val="center"/>
          </w:tcPr>
          <w:p>
            <w:pPr>
              <w:spacing w:line="520" w:lineRule="exact"/>
              <w:jc w:val="center"/>
              <w:rPr>
                <w:rFonts w:hint="eastAsia"/>
                <w:sz w:val="24"/>
              </w:rPr>
            </w:pPr>
            <w:r>
              <w:rPr>
                <w:rFonts w:hint="eastAsia"/>
                <w:sz w:val="24"/>
              </w:rPr>
              <w:t>10</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6" w:hRule="exact"/>
          <w:jc w:val="center"/>
        </w:trPr>
        <w:tc>
          <w:tcPr>
            <w:tcW w:w="852" w:type="dxa"/>
            <w:vAlign w:val="center"/>
          </w:tcPr>
          <w:p>
            <w:pPr>
              <w:spacing w:line="520" w:lineRule="exact"/>
              <w:jc w:val="center"/>
              <w:rPr>
                <w:rFonts w:hint="eastAsia"/>
                <w:sz w:val="24"/>
              </w:rPr>
            </w:pPr>
            <w:r>
              <w:rPr>
                <w:rFonts w:hint="eastAsia"/>
                <w:sz w:val="24"/>
              </w:rPr>
              <w:t>8</w:t>
            </w:r>
          </w:p>
        </w:tc>
        <w:tc>
          <w:tcPr>
            <w:tcW w:w="4855" w:type="dxa"/>
            <w:vAlign w:val="center"/>
          </w:tcPr>
          <w:p>
            <w:pPr>
              <w:spacing w:line="360" w:lineRule="exact"/>
              <w:rPr>
                <w:rFonts w:hint="eastAsia"/>
                <w:sz w:val="24"/>
              </w:rPr>
            </w:pPr>
            <w:r>
              <w:rPr>
                <w:rFonts w:hint="eastAsia"/>
                <w:sz w:val="24"/>
              </w:rPr>
              <w:t>严格落实民工工资支付管理制度，积极处理项目部欠薪问题，防止欠薪引发的群体事件</w:t>
            </w:r>
          </w:p>
        </w:tc>
        <w:tc>
          <w:tcPr>
            <w:tcW w:w="793" w:type="dxa"/>
            <w:vAlign w:val="center"/>
          </w:tcPr>
          <w:p>
            <w:pPr>
              <w:spacing w:line="520" w:lineRule="exact"/>
              <w:jc w:val="center"/>
              <w:rPr>
                <w:rFonts w:hint="eastAsia"/>
                <w:sz w:val="24"/>
              </w:rPr>
            </w:pPr>
            <w:r>
              <w:rPr>
                <w:rFonts w:hint="eastAsia"/>
                <w:sz w:val="24"/>
              </w:rPr>
              <w:t>15</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852" w:type="dxa"/>
            <w:vAlign w:val="center"/>
          </w:tcPr>
          <w:p>
            <w:pPr>
              <w:spacing w:line="520" w:lineRule="exact"/>
              <w:jc w:val="center"/>
              <w:rPr>
                <w:rFonts w:hint="eastAsia"/>
                <w:sz w:val="24"/>
              </w:rPr>
            </w:pPr>
            <w:r>
              <w:rPr>
                <w:rFonts w:hint="eastAsia"/>
                <w:sz w:val="24"/>
              </w:rPr>
              <w:t>9</w:t>
            </w:r>
          </w:p>
        </w:tc>
        <w:tc>
          <w:tcPr>
            <w:tcW w:w="4855" w:type="dxa"/>
            <w:vAlign w:val="center"/>
          </w:tcPr>
          <w:p>
            <w:pPr>
              <w:spacing w:line="360" w:lineRule="exact"/>
              <w:rPr>
                <w:rFonts w:hint="eastAsia"/>
                <w:sz w:val="24"/>
              </w:rPr>
            </w:pPr>
            <w:r>
              <w:rPr>
                <w:rFonts w:hint="eastAsia"/>
                <w:sz w:val="24"/>
              </w:rPr>
              <w:t>年度获得“平安工地”超过10项</w:t>
            </w:r>
          </w:p>
        </w:tc>
        <w:tc>
          <w:tcPr>
            <w:tcW w:w="793" w:type="dxa"/>
            <w:vAlign w:val="center"/>
          </w:tcPr>
          <w:p>
            <w:pPr>
              <w:spacing w:line="520" w:lineRule="exact"/>
              <w:jc w:val="center"/>
              <w:rPr>
                <w:rFonts w:hint="eastAsia"/>
                <w:sz w:val="24"/>
              </w:rPr>
            </w:pPr>
            <w:r>
              <w:rPr>
                <w:rFonts w:hint="eastAsia"/>
                <w:sz w:val="24"/>
              </w:rPr>
              <w:t>10</w:t>
            </w:r>
          </w:p>
        </w:tc>
        <w:tc>
          <w:tcPr>
            <w:tcW w:w="1514" w:type="dxa"/>
            <w:vAlign w:val="center"/>
          </w:tcPr>
          <w:p>
            <w:pPr>
              <w:spacing w:line="520" w:lineRule="exact"/>
              <w:rPr>
                <w:rFonts w:hint="eastAsia"/>
                <w:sz w:val="24"/>
              </w:rPr>
            </w:pPr>
          </w:p>
        </w:tc>
        <w:tc>
          <w:tcPr>
            <w:tcW w:w="1471" w:type="dxa"/>
            <w:vAlign w:val="center"/>
          </w:tcPr>
          <w:p>
            <w:pPr>
              <w:spacing w:line="520" w:lineRule="exact"/>
              <w:rPr>
                <w:rFonts w:hint="eastAsia"/>
                <w:sz w:val="24"/>
              </w:rPr>
            </w:pPr>
          </w:p>
        </w:tc>
      </w:tr>
    </w:tbl>
    <w:p>
      <w:pPr>
        <w:tabs>
          <w:tab w:val="left" w:pos="7560"/>
        </w:tabs>
        <w:autoSpaceDE w:val="0"/>
        <w:autoSpaceDN w:val="0"/>
        <w:adjustRightInd w:val="0"/>
        <w:spacing w:line="700" w:lineRule="exact"/>
        <w:jc w:val="left"/>
        <w:rPr>
          <w:rFonts w:hint="eastAsia"/>
          <w:spacing w:val="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53476"/>
    <w:rsid w:val="2C253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Symbol" w:eastAsia="仿宋_GB2312" w:cs="仿宋_GB2312"/>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kern w:val="0"/>
      <w:sz w:val="18"/>
      <w:szCs w:val="18"/>
    </w:rPr>
  </w:style>
  <w:style w:type="character" w:styleId="4">
    <w:name w:val="page number"/>
    <w:uiPriority w:val="0"/>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2017-06-08T01:10:00Z</dcterms:created>
  <dc:creator>admin</dc:creator>
  <cp:lastModifiedBy>admin</cp:lastModifiedBy>
  <dcterms:modified xsi:type="dcterms:W3CDTF">2017-06-08T01:11:29Z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